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DB0BF" w14:textId="4398C788" w:rsidR="002F4E0F" w:rsidRDefault="000750DF" w:rsidP="00582BE8">
      <w:pPr>
        <w:jc w:val="both"/>
        <w:rPr>
          <w:rFonts w:ascii="Arial" w:hAnsi="Arial" w:cs="Arial"/>
        </w:rPr>
      </w:pPr>
      <w:r w:rsidRPr="000750DF">
        <w:rPr>
          <w:rFonts w:ascii="Arial" w:hAnsi="Arial" w:cs="Arial"/>
        </w:rPr>
        <w:tab/>
      </w:r>
      <w:r w:rsidRPr="000750DF">
        <w:rPr>
          <w:rFonts w:ascii="Arial" w:hAnsi="Arial" w:cs="Arial"/>
          <w:b/>
          <w:bCs/>
        </w:rPr>
        <w:t>SECTION</w:t>
      </w:r>
      <w:r w:rsidRPr="000750DF">
        <w:rPr>
          <w:rFonts w:ascii="Arial" w:hAnsi="Arial" w:cs="Arial"/>
        </w:rPr>
        <w:t xml:space="preserve"> </w:t>
      </w:r>
      <w:r w:rsidRPr="003A1024">
        <w:rPr>
          <w:rFonts w:ascii="Arial" w:hAnsi="Arial" w:cs="Arial"/>
          <w:b/>
          <w:bCs/>
        </w:rPr>
        <w:t>I</w:t>
      </w:r>
      <w:r w:rsidRPr="000750DF">
        <w:rPr>
          <w:rFonts w:ascii="Arial" w:hAnsi="Arial" w:cs="Arial"/>
        </w:rPr>
        <w:t>: AMENDMENT</w:t>
      </w:r>
      <w:r>
        <w:rPr>
          <w:rFonts w:ascii="Arial" w:hAnsi="Arial" w:cs="Arial"/>
        </w:rPr>
        <w:t xml:space="preserve"> – Chapter 1, Future Land Use Element of the Volusia County Comprehensive Plan is amended as follows:</w:t>
      </w:r>
    </w:p>
    <w:p w14:paraId="45620482" w14:textId="54323CFC" w:rsidR="000750DF" w:rsidRDefault="000750DF" w:rsidP="00582BE8">
      <w:pPr>
        <w:jc w:val="center"/>
        <w:rPr>
          <w:rFonts w:ascii="Arial" w:hAnsi="Arial" w:cs="Arial"/>
        </w:rPr>
      </w:pPr>
      <w:r>
        <w:rPr>
          <w:rFonts w:ascii="Arial" w:hAnsi="Arial" w:cs="Arial"/>
        </w:rPr>
        <w:t>*****</w:t>
      </w:r>
    </w:p>
    <w:p w14:paraId="11B7BF6A" w14:textId="5D1BA50A" w:rsidR="00426F50" w:rsidRDefault="215536D0" w:rsidP="00582BE8">
      <w:pPr>
        <w:jc w:val="both"/>
        <w:rPr>
          <w:rFonts w:ascii="Arial" w:hAnsi="Arial" w:cs="Arial"/>
          <w:b/>
          <w:bCs/>
        </w:rPr>
      </w:pPr>
      <w:r w:rsidRPr="4309FC61">
        <w:rPr>
          <w:rFonts w:ascii="Arial" w:hAnsi="Arial" w:cs="Arial"/>
          <w:b/>
          <w:bCs/>
        </w:rPr>
        <w:t xml:space="preserve">F. </w:t>
      </w:r>
      <w:r w:rsidR="4D500274" w:rsidRPr="4309FC61">
        <w:rPr>
          <w:rFonts w:ascii="Arial" w:hAnsi="Arial" w:cs="Arial"/>
          <w:b/>
          <w:bCs/>
        </w:rPr>
        <w:t>INTERPRETATION OF FUTURE LAND USE DESIGNATIONS</w:t>
      </w:r>
    </w:p>
    <w:p w14:paraId="44E39985" w14:textId="5DF0F2C5" w:rsidR="00426F50" w:rsidRPr="00426F50" w:rsidRDefault="00426F50" w:rsidP="00582BE8">
      <w:pPr>
        <w:jc w:val="center"/>
        <w:rPr>
          <w:rFonts w:ascii="Arial" w:hAnsi="Arial" w:cs="Arial"/>
        </w:rPr>
      </w:pPr>
      <w:r>
        <w:rPr>
          <w:rFonts w:ascii="Arial" w:hAnsi="Arial" w:cs="Arial"/>
        </w:rPr>
        <w:t>*****</w:t>
      </w:r>
    </w:p>
    <w:p w14:paraId="26EAC7A7" w14:textId="1E6D8946" w:rsidR="000750DF" w:rsidRPr="000750DF" w:rsidRDefault="0962EF30" w:rsidP="4309FC61">
      <w:pPr>
        <w:jc w:val="both"/>
        <w:rPr>
          <w:rFonts w:ascii="Arial" w:hAnsi="Arial" w:cs="Arial"/>
        </w:rPr>
      </w:pPr>
      <w:r w:rsidRPr="4309FC61">
        <w:rPr>
          <w:rFonts w:ascii="Arial" w:hAnsi="Arial" w:cs="Arial"/>
        </w:rPr>
        <w:t xml:space="preserve">1. </w:t>
      </w:r>
      <w:r w:rsidR="000750DF">
        <w:tab/>
      </w:r>
      <w:r w:rsidR="6B01BC5C" w:rsidRPr="4309FC61">
        <w:rPr>
          <w:rFonts w:ascii="Arial" w:hAnsi="Arial" w:cs="Arial"/>
          <w:strike/>
        </w:rPr>
        <w:t xml:space="preserve">Urban </w:t>
      </w:r>
      <w:r w:rsidR="6B01BC5C" w:rsidRPr="00E8664A">
        <w:rPr>
          <w:rFonts w:ascii="Arial" w:hAnsi="Arial" w:cs="Arial"/>
          <w:u w:val="double"/>
        </w:rPr>
        <w:t>Land Use</w:t>
      </w:r>
      <w:r w:rsidR="6B01BC5C" w:rsidRPr="4309FC61">
        <w:rPr>
          <w:rFonts w:ascii="Arial" w:hAnsi="Arial" w:cs="Arial"/>
          <w:u w:val="single"/>
        </w:rPr>
        <w:t xml:space="preserve"> </w:t>
      </w:r>
      <w:r w:rsidR="6B01BC5C" w:rsidRPr="4309FC61">
        <w:rPr>
          <w:rFonts w:ascii="Arial" w:hAnsi="Arial" w:cs="Arial"/>
        </w:rPr>
        <w:t>Designations</w:t>
      </w:r>
    </w:p>
    <w:p w14:paraId="0EE8DFE3" w14:textId="38124565" w:rsidR="055C293D" w:rsidRDefault="54963D2D" w:rsidP="47E0A7E2">
      <w:pPr>
        <w:spacing w:after="0"/>
        <w:ind w:left="720"/>
        <w:jc w:val="both"/>
        <w:rPr>
          <w:rFonts w:ascii="Arial" w:hAnsi="Arial" w:cs="Arial"/>
          <w:b/>
          <w:bCs/>
        </w:rPr>
      </w:pPr>
      <w:r w:rsidRPr="47E0A7E2">
        <w:rPr>
          <w:rFonts w:ascii="Arial" w:hAnsi="Arial" w:cs="Arial"/>
        </w:rPr>
        <w:t>The following Future Land Use designations are considered to be urban and include the following:</w:t>
      </w:r>
    </w:p>
    <w:p w14:paraId="02F4EB9D" w14:textId="41B5429B" w:rsidR="54963D2D" w:rsidRDefault="54963D2D" w:rsidP="4309FC61">
      <w:pPr>
        <w:spacing w:after="0"/>
        <w:ind w:left="1440"/>
        <w:jc w:val="both"/>
        <w:rPr>
          <w:rFonts w:ascii="Arial" w:hAnsi="Arial" w:cs="Arial"/>
        </w:rPr>
      </w:pPr>
      <w:r w:rsidRPr="4309FC61">
        <w:rPr>
          <w:rFonts w:ascii="Arial" w:hAnsi="Arial" w:cs="Arial"/>
        </w:rPr>
        <w:t>Urban Low Intensity;</w:t>
      </w:r>
    </w:p>
    <w:p w14:paraId="085DEDF9" w14:textId="4B1F80EF" w:rsidR="54963D2D" w:rsidRDefault="54963D2D" w:rsidP="4309FC61">
      <w:pPr>
        <w:spacing w:after="0"/>
        <w:ind w:left="1440"/>
        <w:jc w:val="both"/>
        <w:rPr>
          <w:rFonts w:ascii="Arial" w:hAnsi="Arial" w:cs="Arial"/>
        </w:rPr>
      </w:pPr>
      <w:r w:rsidRPr="4309FC61">
        <w:rPr>
          <w:rFonts w:ascii="Arial" w:hAnsi="Arial" w:cs="Arial"/>
        </w:rPr>
        <w:t>Urban Medium Intensity;</w:t>
      </w:r>
    </w:p>
    <w:p w14:paraId="22BC2A25" w14:textId="6C6A8FCE" w:rsidR="54963D2D" w:rsidRDefault="54963D2D" w:rsidP="4309FC61">
      <w:pPr>
        <w:spacing w:after="0"/>
        <w:ind w:left="1440"/>
        <w:jc w:val="both"/>
        <w:rPr>
          <w:rFonts w:ascii="Arial" w:hAnsi="Arial" w:cs="Arial"/>
        </w:rPr>
      </w:pPr>
      <w:r w:rsidRPr="4309FC61">
        <w:rPr>
          <w:rFonts w:ascii="Arial" w:hAnsi="Arial" w:cs="Arial"/>
        </w:rPr>
        <w:t>Urban High Intensity;</w:t>
      </w:r>
    </w:p>
    <w:p w14:paraId="3B4344B2" w14:textId="4C6B4DA5" w:rsidR="54963D2D" w:rsidRDefault="54963D2D" w:rsidP="4309FC61">
      <w:pPr>
        <w:spacing w:after="0"/>
        <w:ind w:left="1440"/>
        <w:jc w:val="both"/>
        <w:rPr>
          <w:rFonts w:ascii="Arial" w:hAnsi="Arial" w:cs="Arial"/>
        </w:rPr>
      </w:pPr>
      <w:r w:rsidRPr="4309FC61">
        <w:rPr>
          <w:rFonts w:ascii="Arial" w:hAnsi="Arial" w:cs="Arial"/>
        </w:rPr>
        <w:t>Commercial;</w:t>
      </w:r>
    </w:p>
    <w:p w14:paraId="0D0BFA00" w14:textId="2E2C12B9" w:rsidR="54963D2D" w:rsidRDefault="54963D2D" w:rsidP="4309FC61">
      <w:pPr>
        <w:spacing w:after="0"/>
        <w:ind w:left="1440"/>
        <w:jc w:val="both"/>
        <w:rPr>
          <w:rFonts w:ascii="Arial" w:hAnsi="Arial" w:cs="Arial"/>
        </w:rPr>
      </w:pPr>
      <w:r w:rsidRPr="4309FC61">
        <w:rPr>
          <w:rFonts w:ascii="Arial" w:hAnsi="Arial" w:cs="Arial"/>
        </w:rPr>
        <w:t>Industrial;</w:t>
      </w:r>
    </w:p>
    <w:p w14:paraId="18C6D0A5" w14:textId="5375A672" w:rsidR="54963D2D" w:rsidRDefault="54963D2D" w:rsidP="4309FC61">
      <w:pPr>
        <w:spacing w:after="0"/>
        <w:ind w:left="1440"/>
        <w:jc w:val="both"/>
        <w:rPr>
          <w:rFonts w:ascii="Arial" w:hAnsi="Arial" w:cs="Arial"/>
        </w:rPr>
      </w:pPr>
      <w:r w:rsidRPr="4309FC61">
        <w:rPr>
          <w:rFonts w:ascii="Arial" w:hAnsi="Arial" w:cs="Arial"/>
        </w:rPr>
        <w:t>Multiple Use Areas</w:t>
      </w:r>
    </w:p>
    <w:p w14:paraId="454D63E7" w14:textId="6DAB4BBF" w:rsidR="54963D2D" w:rsidRDefault="54963D2D" w:rsidP="4309FC61">
      <w:pPr>
        <w:spacing w:after="0"/>
        <w:ind w:left="1440"/>
        <w:jc w:val="both"/>
        <w:rPr>
          <w:rFonts w:ascii="Arial" w:hAnsi="Arial" w:cs="Arial"/>
        </w:rPr>
      </w:pPr>
      <w:r w:rsidRPr="4309FC61">
        <w:rPr>
          <w:rFonts w:ascii="Arial" w:hAnsi="Arial" w:cs="Arial"/>
        </w:rPr>
        <w:t>Low Impact Urban, if all applicable LIU criteria are met.</w:t>
      </w:r>
    </w:p>
    <w:p w14:paraId="6138C977" w14:textId="40FDB99D" w:rsidR="54963D2D" w:rsidRDefault="54963D2D" w:rsidP="4309FC61">
      <w:pPr>
        <w:spacing w:after="0"/>
        <w:ind w:left="1440"/>
        <w:jc w:val="both"/>
        <w:rPr>
          <w:rFonts w:ascii="Arial" w:hAnsi="Arial" w:cs="Arial"/>
        </w:rPr>
      </w:pPr>
      <w:r w:rsidRPr="4309FC61">
        <w:rPr>
          <w:rFonts w:ascii="Arial" w:hAnsi="Arial" w:cs="Arial"/>
        </w:rPr>
        <w:t>Osteen Commercial Village</w:t>
      </w:r>
    </w:p>
    <w:p w14:paraId="0917BBF7" w14:textId="3323BC24" w:rsidR="54963D2D" w:rsidRDefault="54963D2D" w:rsidP="4309FC61">
      <w:pPr>
        <w:spacing w:after="0"/>
        <w:ind w:left="1440"/>
        <w:jc w:val="both"/>
        <w:rPr>
          <w:rFonts w:ascii="Arial" w:hAnsi="Arial" w:cs="Arial"/>
        </w:rPr>
      </w:pPr>
      <w:r w:rsidRPr="4309FC61">
        <w:rPr>
          <w:rFonts w:ascii="Arial" w:hAnsi="Arial" w:cs="Arial"/>
        </w:rPr>
        <w:t>Osteen Mixed Use Village</w:t>
      </w:r>
    </w:p>
    <w:p w14:paraId="543204C8" w14:textId="25AEB42A" w:rsidR="54963D2D" w:rsidRDefault="54963D2D" w:rsidP="4309FC61">
      <w:pPr>
        <w:spacing w:after="0"/>
        <w:ind w:left="1440"/>
        <w:jc w:val="both"/>
        <w:rPr>
          <w:rFonts w:ascii="Arial" w:hAnsi="Arial" w:cs="Arial"/>
        </w:rPr>
      </w:pPr>
      <w:r w:rsidRPr="4309FC61">
        <w:rPr>
          <w:rFonts w:ascii="Arial" w:hAnsi="Arial" w:cs="Arial"/>
        </w:rPr>
        <w:t>Osteen Tech Center</w:t>
      </w:r>
    </w:p>
    <w:p w14:paraId="2D145006" w14:textId="35A337FB" w:rsidR="54963D2D" w:rsidRDefault="54963D2D" w:rsidP="4309FC61">
      <w:pPr>
        <w:ind w:left="1440"/>
        <w:jc w:val="both"/>
        <w:rPr>
          <w:rFonts w:ascii="Arial" w:hAnsi="Arial" w:cs="Arial"/>
        </w:rPr>
      </w:pPr>
      <w:r w:rsidRPr="4309FC61">
        <w:rPr>
          <w:rFonts w:ascii="Arial" w:hAnsi="Arial" w:cs="Arial"/>
        </w:rPr>
        <w:t>Osteen Urban Residential</w:t>
      </w:r>
    </w:p>
    <w:p w14:paraId="7DF3BF4E" w14:textId="1393B34C" w:rsidR="54963D2D" w:rsidRPr="00E8664A" w:rsidRDefault="54963D2D" w:rsidP="4309FC61">
      <w:pPr>
        <w:ind w:left="720"/>
        <w:jc w:val="both"/>
        <w:rPr>
          <w:rFonts w:ascii="Arial" w:hAnsi="Arial" w:cs="Arial"/>
          <w:u w:val="double"/>
        </w:rPr>
      </w:pPr>
      <w:r w:rsidRPr="00E8664A">
        <w:rPr>
          <w:rFonts w:ascii="Arial" w:hAnsi="Arial" w:cs="Arial"/>
          <w:u w:val="double"/>
        </w:rPr>
        <w:t>All land use designations not listed above are considered to be rural.</w:t>
      </w:r>
    </w:p>
    <w:p w14:paraId="25B6C07A" w14:textId="47AC0905" w:rsidR="54963D2D" w:rsidRDefault="54963D2D" w:rsidP="4309FC61">
      <w:pPr>
        <w:ind w:left="720"/>
        <w:jc w:val="both"/>
        <w:rPr>
          <w:rFonts w:ascii="Arial" w:hAnsi="Arial" w:cs="Arial"/>
        </w:rPr>
      </w:pPr>
      <w:r w:rsidRPr="4309FC61">
        <w:rPr>
          <w:rFonts w:ascii="Arial" w:hAnsi="Arial" w:cs="Arial"/>
        </w:rPr>
        <w:t xml:space="preserve">Both a minimum and maximum density allowance is provided for urban residential designations. The intent of establishing minimum density thresholds for urban land use designations is to encourage compact urban growth patterns where existing infrastructure investments are maximized and growth is directed away from environmentally sensitive areas. </w:t>
      </w:r>
      <w:r w:rsidR="4A471949" w:rsidRPr="4309FC61">
        <w:rPr>
          <w:rFonts w:ascii="Arial" w:hAnsi="Arial" w:cs="Arial"/>
        </w:rPr>
        <w:t>The density ranges are expressed in terms of gross residential density as defined in this chapter. Actual net density may be permitted to be less than the minimum depending on zoning and</w:t>
      </w:r>
      <w:r w:rsidR="03F97FCE" w:rsidRPr="4309FC61">
        <w:rPr>
          <w:rFonts w:ascii="Arial" w:hAnsi="Arial" w:cs="Arial"/>
        </w:rPr>
        <w:t xml:space="preserve"> </w:t>
      </w:r>
      <w:r w:rsidR="4A471949" w:rsidRPr="4309FC61">
        <w:rPr>
          <w:rFonts w:ascii="Arial" w:hAnsi="Arial" w:cs="Arial"/>
        </w:rPr>
        <w:t>land development regulations that require certain lot dimensions, land set asides for infrastructure, and to protect the environmental characteristi</w:t>
      </w:r>
      <w:r w:rsidR="5D0848C1" w:rsidRPr="4309FC61">
        <w:rPr>
          <w:rFonts w:ascii="Arial" w:hAnsi="Arial" w:cs="Arial"/>
        </w:rPr>
        <w:t>cs of a particular property.</w:t>
      </w:r>
    </w:p>
    <w:p w14:paraId="791AEC86" w14:textId="01C5D187" w:rsidR="000750DF" w:rsidRDefault="000750DF" w:rsidP="00582BE8">
      <w:pPr>
        <w:jc w:val="center"/>
        <w:rPr>
          <w:rFonts w:ascii="Arial" w:hAnsi="Arial" w:cs="Arial"/>
        </w:rPr>
      </w:pPr>
      <w:r w:rsidRPr="47E0A7E2">
        <w:rPr>
          <w:rFonts w:ascii="Arial" w:hAnsi="Arial" w:cs="Arial"/>
        </w:rPr>
        <w:t>*****</w:t>
      </w:r>
    </w:p>
    <w:p w14:paraId="2313520D" w14:textId="152AB160" w:rsidR="00426F50" w:rsidRPr="00AC6511" w:rsidRDefault="00426F50" w:rsidP="00582BE8">
      <w:pPr>
        <w:jc w:val="both"/>
        <w:rPr>
          <w:rFonts w:ascii="Arial" w:hAnsi="Arial" w:cs="Arial"/>
          <w:b/>
          <w:bCs/>
        </w:rPr>
      </w:pPr>
      <w:r>
        <w:rPr>
          <w:rFonts w:ascii="Arial" w:hAnsi="Arial" w:cs="Arial"/>
          <w:b/>
          <w:bCs/>
        </w:rPr>
        <w:t xml:space="preserve">H. </w:t>
      </w:r>
      <w:r w:rsidRPr="00AC6511">
        <w:rPr>
          <w:rFonts w:ascii="Arial" w:hAnsi="Arial" w:cs="Arial"/>
          <w:b/>
          <w:bCs/>
        </w:rPr>
        <w:t xml:space="preserve">SMART GROWTH INITIATIVE </w:t>
      </w:r>
    </w:p>
    <w:p w14:paraId="1BE2ECC5" w14:textId="77777777" w:rsidR="00426F50" w:rsidRDefault="00426F50" w:rsidP="00582BE8">
      <w:pPr>
        <w:jc w:val="center"/>
        <w:rPr>
          <w:rFonts w:ascii="Arial" w:hAnsi="Arial" w:cs="Arial"/>
        </w:rPr>
      </w:pPr>
      <w:r>
        <w:rPr>
          <w:rFonts w:ascii="Arial" w:hAnsi="Arial" w:cs="Arial"/>
        </w:rPr>
        <w:t>*****</w:t>
      </w:r>
    </w:p>
    <w:p w14:paraId="256A9938" w14:textId="2BB7F016" w:rsidR="00464405" w:rsidRDefault="3CC965F9" w:rsidP="00464405">
      <w:pPr>
        <w:autoSpaceDE w:val="0"/>
        <w:ind w:left="1440" w:hanging="1440"/>
        <w:jc w:val="both"/>
        <w:rPr>
          <w:rFonts w:ascii="Arial" w:hAnsi="Arial" w:cs="Arial"/>
        </w:rPr>
      </w:pPr>
      <w:r w:rsidRPr="4309FC61">
        <w:rPr>
          <w:rFonts w:ascii="Arial" w:hAnsi="Arial" w:cs="Arial"/>
        </w:rPr>
        <w:t>SG 1.2.2:</w:t>
      </w:r>
      <w:r w:rsidR="00464405">
        <w:tab/>
      </w:r>
      <w:r w:rsidRPr="4309FC61">
        <w:rPr>
          <w:rFonts w:ascii="Arial" w:hAnsi="Arial" w:cs="Arial"/>
        </w:rPr>
        <w:t>The County shall develop procedures, standards, and incentives for Conservation Developments (CDs).  CDs shall be the preferred method for subdivisions on all parcels or tracts that</w:t>
      </w:r>
      <w:r w:rsidRPr="00E8664A">
        <w:rPr>
          <w:rFonts w:ascii="Arial" w:hAnsi="Arial" w:cs="Arial"/>
          <w:u w:val="double"/>
        </w:rPr>
        <w:t xml:space="preserve"> are within urban</w:t>
      </w:r>
      <w:r w:rsidR="5465C4CB" w:rsidRPr="00E8664A">
        <w:rPr>
          <w:rFonts w:ascii="Arial" w:hAnsi="Arial" w:cs="Arial"/>
          <w:u w:val="double"/>
        </w:rPr>
        <w:t xml:space="preserve"> residential</w:t>
      </w:r>
      <w:r w:rsidRPr="00E8664A">
        <w:rPr>
          <w:rFonts w:ascii="Arial" w:hAnsi="Arial" w:cs="Arial"/>
          <w:u w:val="double"/>
        </w:rPr>
        <w:t xml:space="preserve"> land use designations </w:t>
      </w:r>
      <w:r w:rsidR="232F6127" w:rsidRPr="00E8664A">
        <w:rPr>
          <w:rFonts w:ascii="Arial" w:hAnsi="Arial" w:cs="Arial"/>
          <w:u w:val="double"/>
        </w:rPr>
        <w:t>or are within</w:t>
      </w:r>
      <w:r w:rsidRPr="4309FC61">
        <w:rPr>
          <w:rFonts w:ascii="Arial" w:hAnsi="Arial" w:cs="Arial"/>
        </w:rPr>
        <w:t xml:space="preserve"> </w:t>
      </w:r>
      <w:r w:rsidRPr="4309FC61">
        <w:rPr>
          <w:rFonts w:ascii="Arial" w:hAnsi="Arial" w:cs="Arial"/>
          <w:strike/>
        </w:rPr>
        <w:t xml:space="preserve">include </w:t>
      </w:r>
      <w:r w:rsidRPr="4309FC61">
        <w:rPr>
          <w:rFonts w:ascii="Arial" w:hAnsi="Arial" w:cs="Arial"/>
        </w:rPr>
        <w:t xml:space="preserve">or </w:t>
      </w:r>
      <w:r w:rsidRPr="4309FC61">
        <w:rPr>
          <w:rFonts w:ascii="Arial" w:hAnsi="Arial" w:cs="Arial"/>
          <w:strike/>
        </w:rPr>
        <w:t xml:space="preserve">are </w:t>
      </w:r>
      <w:r w:rsidRPr="4309FC61">
        <w:rPr>
          <w:rFonts w:ascii="Arial" w:hAnsi="Arial" w:cs="Arial"/>
        </w:rPr>
        <w:t>directly adjacent to lands identified on the Environmental Core Overlay (ECO).</w:t>
      </w:r>
    </w:p>
    <w:p w14:paraId="32290D23" w14:textId="13E517F5" w:rsidR="00464405" w:rsidRDefault="00464405" w:rsidP="00464405">
      <w:pPr>
        <w:jc w:val="center"/>
        <w:rPr>
          <w:rFonts w:ascii="Arial" w:hAnsi="Arial" w:cs="Arial"/>
        </w:rPr>
      </w:pPr>
      <w:r>
        <w:rPr>
          <w:rFonts w:ascii="Arial" w:hAnsi="Arial" w:cs="Arial"/>
        </w:rPr>
        <w:t>*****</w:t>
      </w:r>
    </w:p>
    <w:p w14:paraId="6F387400" w14:textId="39583244" w:rsidR="00426F50" w:rsidRDefault="007863C3" w:rsidP="00582BE8">
      <w:pPr>
        <w:jc w:val="both"/>
        <w:rPr>
          <w:rFonts w:ascii="Arial" w:hAnsi="Arial" w:cs="Arial"/>
          <w:u w:val="single"/>
        </w:rPr>
      </w:pPr>
      <w:r>
        <w:rPr>
          <w:rFonts w:ascii="Arial" w:hAnsi="Arial" w:cs="Arial"/>
          <w:u w:val="single"/>
        </w:rPr>
        <w:t>GOAL:</w:t>
      </w:r>
    </w:p>
    <w:p w14:paraId="053E0BB9" w14:textId="250B22BB" w:rsidR="007863C3" w:rsidRPr="00086011" w:rsidRDefault="007863C3" w:rsidP="00582BE8">
      <w:pPr>
        <w:ind w:left="1350" w:hanging="1350"/>
        <w:jc w:val="both"/>
        <w:rPr>
          <w:rFonts w:ascii="Arial" w:hAnsi="Arial" w:cs="Arial"/>
          <w:u w:val="single"/>
        </w:rPr>
      </w:pPr>
      <w:r w:rsidRPr="00E8664A">
        <w:rPr>
          <w:rFonts w:ascii="Arial" w:hAnsi="Arial" w:cs="Arial"/>
          <w:u w:val="double"/>
        </w:rPr>
        <w:lastRenderedPageBreak/>
        <w:t>SG 2:</w:t>
      </w:r>
      <w:r w:rsidRPr="00E8664A">
        <w:rPr>
          <w:rFonts w:ascii="Arial" w:hAnsi="Arial" w:cs="Arial"/>
        </w:rPr>
        <w:tab/>
      </w:r>
      <w:r w:rsidRPr="00E8664A">
        <w:rPr>
          <w:rFonts w:ascii="Arial" w:hAnsi="Arial" w:cs="Arial"/>
          <w:u w:val="double"/>
        </w:rPr>
        <w:t xml:space="preserve">To </w:t>
      </w:r>
      <w:r w:rsidR="004C4621" w:rsidRPr="00E8664A">
        <w:rPr>
          <w:rFonts w:ascii="Arial" w:hAnsi="Arial" w:cs="Arial"/>
          <w:u w:val="double"/>
        </w:rPr>
        <w:t>provide alternative development design standards to assist with stormwater management and water quality within Volusia County.</w:t>
      </w:r>
    </w:p>
    <w:p w14:paraId="5BC887C6" w14:textId="77777777" w:rsidR="008D5EA4" w:rsidRDefault="008D5EA4" w:rsidP="00582BE8">
      <w:pPr>
        <w:ind w:left="1350" w:hanging="1350"/>
        <w:jc w:val="both"/>
        <w:rPr>
          <w:rFonts w:ascii="Arial" w:hAnsi="Arial" w:cs="Arial"/>
          <w:u w:val="single"/>
        </w:rPr>
      </w:pPr>
    </w:p>
    <w:p w14:paraId="1023B8D1" w14:textId="4EC44CF1" w:rsidR="008D5EA4" w:rsidRPr="00E8664A" w:rsidRDefault="008D5EA4" w:rsidP="00582BE8">
      <w:pPr>
        <w:ind w:left="1350" w:hanging="1350"/>
        <w:jc w:val="both"/>
        <w:rPr>
          <w:rFonts w:ascii="Arial" w:hAnsi="Arial" w:cs="Arial"/>
          <w:u w:val="double"/>
        </w:rPr>
      </w:pPr>
      <w:r w:rsidRPr="00E8664A">
        <w:rPr>
          <w:rFonts w:ascii="Arial" w:hAnsi="Arial" w:cs="Arial"/>
          <w:u w:val="double"/>
        </w:rPr>
        <w:t>OBJECTIVE:</w:t>
      </w:r>
    </w:p>
    <w:p w14:paraId="7AEEB920" w14:textId="26DA9D85" w:rsidR="008D5EA4" w:rsidRPr="00086011" w:rsidRDefault="01AC5A0A" w:rsidP="00582BE8">
      <w:pPr>
        <w:ind w:left="1350" w:hanging="1350"/>
        <w:jc w:val="both"/>
        <w:rPr>
          <w:rFonts w:ascii="Arial" w:hAnsi="Arial" w:cs="Arial"/>
          <w:u w:val="single"/>
        </w:rPr>
      </w:pPr>
      <w:r w:rsidRPr="00E8664A">
        <w:rPr>
          <w:rFonts w:ascii="Arial" w:hAnsi="Arial" w:cs="Arial"/>
          <w:u w:val="double"/>
        </w:rPr>
        <w:t>SG 2.1:</w:t>
      </w:r>
      <w:r w:rsidR="008D5EA4">
        <w:tab/>
      </w:r>
      <w:r w:rsidR="4B04E419" w:rsidRPr="00E8664A">
        <w:rPr>
          <w:rFonts w:ascii="Arial" w:hAnsi="Arial" w:cs="Arial"/>
          <w:u w:val="double"/>
        </w:rPr>
        <w:t xml:space="preserve">To </w:t>
      </w:r>
      <w:r w:rsidR="041E4BC6" w:rsidRPr="00E8664A">
        <w:rPr>
          <w:rFonts w:ascii="Arial" w:hAnsi="Arial" w:cs="Arial"/>
          <w:u w:val="double"/>
        </w:rPr>
        <w:t>allow</w:t>
      </w:r>
      <w:r w:rsidR="4B04E419" w:rsidRPr="00E8664A">
        <w:rPr>
          <w:rFonts w:ascii="Arial" w:hAnsi="Arial" w:cs="Arial"/>
          <w:u w:val="double"/>
        </w:rPr>
        <w:t xml:space="preserve"> implementation of low impact development and green stormwater infrastructure techniques within the development of sites.</w:t>
      </w:r>
    </w:p>
    <w:p w14:paraId="6F205B9C" w14:textId="77777777" w:rsidR="00264CB9" w:rsidRPr="00086011" w:rsidRDefault="00264CB9" w:rsidP="00582BE8">
      <w:pPr>
        <w:ind w:left="1350" w:hanging="1350"/>
        <w:jc w:val="both"/>
        <w:rPr>
          <w:rFonts w:ascii="Arial" w:hAnsi="Arial" w:cs="Arial"/>
          <w:u w:val="single"/>
        </w:rPr>
      </w:pPr>
    </w:p>
    <w:p w14:paraId="1D8F102D" w14:textId="0EE7D699" w:rsidR="004C4621" w:rsidRPr="00E8664A" w:rsidRDefault="004C4621" w:rsidP="00582BE8">
      <w:pPr>
        <w:ind w:left="1350" w:hanging="1350"/>
        <w:jc w:val="both"/>
        <w:rPr>
          <w:rFonts w:ascii="Arial" w:hAnsi="Arial" w:cs="Arial"/>
          <w:u w:val="double"/>
        </w:rPr>
      </w:pPr>
      <w:r w:rsidRPr="00E8664A">
        <w:rPr>
          <w:rFonts w:ascii="Arial" w:hAnsi="Arial" w:cs="Arial"/>
          <w:u w:val="double"/>
        </w:rPr>
        <w:t>POLICIES:</w:t>
      </w:r>
    </w:p>
    <w:p w14:paraId="2B889A83" w14:textId="5D93ABB6" w:rsidR="004A7D87" w:rsidRPr="00E8664A" w:rsidRDefault="4B04E419" w:rsidP="00582BE8">
      <w:pPr>
        <w:ind w:left="1350" w:hanging="1350"/>
        <w:jc w:val="both"/>
        <w:rPr>
          <w:rFonts w:ascii="Arial" w:hAnsi="Arial" w:cs="Arial"/>
          <w:u w:val="double"/>
        </w:rPr>
      </w:pPr>
      <w:r w:rsidRPr="00E8664A">
        <w:rPr>
          <w:rFonts w:ascii="Arial" w:hAnsi="Arial" w:cs="Arial"/>
          <w:u w:val="double"/>
        </w:rPr>
        <w:t>SG 2.1.1:</w:t>
      </w:r>
      <w:r w:rsidR="004C4621">
        <w:tab/>
      </w:r>
      <w:r w:rsidR="0BD4C392" w:rsidRPr="00E8664A">
        <w:rPr>
          <w:rFonts w:ascii="Arial" w:hAnsi="Arial" w:cs="Arial"/>
          <w:u w:val="double"/>
        </w:rPr>
        <w:t xml:space="preserve">Developers </w:t>
      </w:r>
      <w:r w:rsidR="50A83FA0" w:rsidRPr="00E8664A">
        <w:rPr>
          <w:rFonts w:ascii="Arial" w:hAnsi="Arial" w:cs="Arial"/>
          <w:u w:val="double"/>
        </w:rPr>
        <w:t>are</w:t>
      </w:r>
      <w:r w:rsidR="0BD4C392" w:rsidRPr="00E8664A">
        <w:rPr>
          <w:rFonts w:ascii="Arial" w:hAnsi="Arial" w:cs="Arial"/>
          <w:u w:val="double"/>
        </w:rPr>
        <w:t xml:space="preserve"> encouraged to use low impact development and green stormwater infrastructure techniques within all land use designations.</w:t>
      </w:r>
    </w:p>
    <w:p w14:paraId="0D301164" w14:textId="17144EA2" w:rsidR="004C4621" w:rsidRPr="00E8664A" w:rsidRDefault="0BD4C392" w:rsidP="004A7D87">
      <w:pPr>
        <w:ind w:left="1350" w:hanging="1350"/>
        <w:jc w:val="both"/>
        <w:rPr>
          <w:rFonts w:ascii="Arial" w:hAnsi="Arial" w:cs="Arial"/>
          <w:u w:val="double"/>
        </w:rPr>
      </w:pPr>
      <w:r w:rsidRPr="00E8664A">
        <w:rPr>
          <w:rFonts w:ascii="Arial" w:hAnsi="Arial" w:cs="Arial"/>
          <w:u w:val="double"/>
        </w:rPr>
        <w:t>SG 2.1.2:</w:t>
      </w:r>
      <w:r w:rsidR="004A7D87">
        <w:tab/>
      </w:r>
      <w:r w:rsidR="082CC93D" w:rsidRPr="00E8664A">
        <w:rPr>
          <w:rFonts w:ascii="Arial" w:hAnsi="Arial" w:cs="Arial"/>
          <w:u w:val="double"/>
        </w:rPr>
        <w:t xml:space="preserve">Developers utilizing low impact development techniques </w:t>
      </w:r>
      <w:r w:rsidR="7B55B08A" w:rsidRPr="00E8664A">
        <w:rPr>
          <w:rFonts w:ascii="Arial" w:hAnsi="Arial" w:cs="Arial"/>
          <w:u w:val="double"/>
        </w:rPr>
        <w:t>are</w:t>
      </w:r>
      <w:r w:rsidR="082CC93D" w:rsidRPr="00E8664A">
        <w:rPr>
          <w:rFonts w:ascii="Arial" w:hAnsi="Arial" w:cs="Arial"/>
          <w:u w:val="double"/>
        </w:rPr>
        <w:t xml:space="preserve"> encouraged to use innovative land planning and development techniques such as conservation subdivisions, rural clusters</w:t>
      </w:r>
      <w:r w:rsidR="7BD83B15" w:rsidRPr="00E8664A">
        <w:rPr>
          <w:rFonts w:ascii="Arial" w:hAnsi="Arial" w:cs="Arial"/>
          <w:u w:val="double"/>
        </w:rPr>
        <w:t xml:space="preserve">, </w:t>
      </w:r>
      <w:r w:rsidR="2F40C0EA" w:rsidRPr="00E8664A">
        <w:rPr>
          <w:rFonts w:ascii="Arial" w:hAnsi="Arial" w:cs="Arial"/>
          <w:u w:val="double"/>
        </w:rPr>
        <w:t xml:space="preserve">and </w:t>
      </w:r>
      <w:r w:rsidR="082CC93D" w:rsidRPr="00E8664A">
        <w:rPr>
          <w:rFonts w:ascii="Arial" w:hAnsi="Arial" w:cs="Arial"/>
          <w:u w:val="double"/>
        </w:rPr>
        <w:t>Waterwise Development</w:t>
      </w:r>
      <w:r w:rsidR="2F40C0EA" w:rsidRPr="00E8664A">
        <w:rPr>
          <w:rFonts w:ascii="Arial" w:hAnsi="Arial" w:cs="Arial"/>
          <w:u w:val="double"/>
        </w:rPr>
        <w:t>.</w:t>
      </w:r>
    </w:p>
    <w:p w14:paraId="334154AA" w14:textId="5156346C" w:rsidR="00F122B4" w:rsidRDefault="082CC93D" w:rsidP="4309FC61">
      <w:pPr>
        <w:ind w:left="1350" w:hanging="1350"/>
        <w:jc w:val="both"/>
        <w:rPr>
          <w:rFonts w:ascii="Arial" w:hAnsi="Arial" w:cs="Arial"/>
          <w:u w:val="single"/>
        </w:rPr>
      </w:pPr>
      <w:r w:rsidRPr="00E8664A">
        <w:rPr>
          <w:rFonts w:ascii="Arial" w:hAnsi="Arial" w:cs="Arial"/>
          <w:u w:val="double"/>
        </w:rPr>
        <w:t>SG 2.1.</w:t>
      </w:r>
      <w:r w:rsidR="0BD4C392" w:rsidRPr="00E8664A">
        <w:rPr>
          <w:rFonts w:ascii="Arial" w:hAnsi="Arial" w:cs="Arial"/>
          <w:u w:val="double"/>
        </w:rPr>
        <w:t>3</w:t>
      </w:r>
      <w:r w:rsidRPr="00E8664A">
        <w:rPr>
          <w:rFonts w:ascii="Arial" w:hAnsi="Arial" w:cs="Arial"/>
          <w:u w:val="double"/>
        </w:rPr>
        <w:t>:</w:t>
      </w:r>
      <w:r w:rsidR="00F122B4">
        <w:tab/>
      </w:r>
      <w:r w:rsidR="3EC97275" w:rsidRPr="00E8664A">
        <w:rPr>
          <w:rFonts w:ascii="Arial" w:hAnsi="Arial" w:cs="Arial"/>
          <w:u w:val="double"/>
        </w:rPr>
        <w:t xml:space="preserve">The land development regulations and any accompanying manual shall set forth a flexible process for authorizing subdivisions and site plans implementing low impact development techniques with innovative designs, </w:t>
      </w:r>
      <w:r w:rsidR="76AFB135" w:rsidRPr="00E8664A">
        <w:rPr>
          <w:rFonts w:ascii="Arial" w:hAnsi="Arial" w:cs="Arial"/>
          <w:u w:val="double"/>
        </w:rPr>
        <w:t>incentives,</w:t>
      </w:r>
      <w:r w:rsidR="3EC97275" w:rsidRPr="00E8664A">
        <w:rPr>
          <w:rFonts w:ascii="Arial" w:hAnsi="Arial" w:cs="Arial"/>
          <w:u w:val="double"/>
        </w:rPr>
        <w:t xml:space="preserve"> and standards.</w:t>
      </w:r>
      <w:r w:rsidR="116040F2" w:rsidRPr="00E8664A">
        <w:rPr>
          <w:rFonts w:ascii="Arial" w:hAnsi="Arial" w:cs="Arial"/>
          <w:u w:val="double"/>
        </w:rPr>
        <w:t xml:space="preserve"> </w:t>
      </w:r>
      <w:r w:rsidR="2D78DCD4" w:rsidRPr="00E8664A">
        <w:rPr>
          <w:rFonts w:ascii="Arial" w:hAnsi="Arial" w:cs="Arial"/>
          <w:u w:val="double"/>
        </w:rPr>
        <w:t>Incentives may include, but are not limited to, increased density</w:t>
      </w:r>
      <w:r w:rsidR="2D9AFB37" w:rsidRPr="00E8664A">
        <w:rPr>
          <w:rFonts w:ascii="Arial" w:hAnsi="Arial" w:cs="Arial"/>
          <w:u w:val="double"/>
        </w:rPr>
        <w:t>, intensity,</w:t>
      </w:r>
      <w:r w:rsidR="2D78DCD4" w:rsidRPr="00E8664A">
        <w:rPr>
          <w:rFonts w:ascii="Arial" w:hAnsi="Arial" w:cs="Arial"/>
          <w:u w:val="double"/>
        </w:rPr>
        <w:t xml:space="preserve"> building height, a</w:t>
      </w:r>
      <w:r w:rsidR="32873ED3" w:rsidRPr="00E8664A">
        <w:rPr>
          <w:rFonts w:ascii="Arial" w:hAnsi="Arial" w:cs="Arial"/>
          <w:u w:val="double"/>
        </w:rPr>
        <w:t xml:space="preserve">nd/or </w:t>
      </w:r>
      <w:r w:rsidR="2D78DCD4" w:rsidRPr="00E8664A">
        <w:rPr>
          <w:rFonts w:ascii="Arial" w:hAnsi="Arial" w:cs="Arial"/>
          <w:u w:val="double"/>
        </w:rPr>
        <w:t>reduced setbacks.</w:t>
      </w:r>
      <w:r w:rsidR="6206BCF0" w:rsidRPr="00E8664A">
        <w:rPr>
          <w:rFonts w:ascii="Arial" w:hAnsi="Arial" w:cs="Arial"/>
          <w:u w:val="double"/>
        </w:rPr>
        <w:t xml:space="preserve"> </w:t>
      </w:r>
    </w:p>
    <w:p w14:paraId="29D47CD1" w14:textId="79F801FF" w:rsidR="00F122B4" w:rsidRDefault="31AD2729" w:rsidP="06C350A4">
      <w:pPr>
        <w:ind w:left="1350" w:hanging="1350"/>
        <w:jc w:val="both"/>
        <w:rPr>
          <w:rFonts w:ascii="Arial" w:hAnsi="Arial" w:cs="Arial"/>
          <w:u w:val="single"/>
        </w:rPr>
      </w:pPr>
      <w:r w:rsidRPr="00E8664A">
        <w:rPr>
          <w:rFonts w:ascii="Arial" w:hAnsi="Arial" w:cs="Arial"/>
          <w:u w:val="double"/>
        </w:rPr>
        <w:t>SG</w:t>
      </w:r>
      <w:r w:rsidR="2C52E669" w:rsidRPr="00E8664A">
        <w:rPr>
          <w:rFonts w:ascii="Arial" w:hAnsi="Arial" w:cs="Arial"/>
          <w:u w:val="double"/>
        </w:rPr>
        <w:t xml:space="preserve"> </w:t>
      </w:r>
      <w:r w:rsidRPr="00E8664A">
        <w:rPr>
          <w:rFonts w:ascii="Arial" w:hAnsi="Arial" w:cs="Arial"/>
          <w:u w:val="double"/>
        </w:rPr>
        <w:t>2.1.4:</w:t>
      </w:r>
      <w:r w:rsidR="00F122B4">
        <w:tab/>
      </w:r>
      <w:r w:rsidR="6206BCF0" w:rsidRPr="00E8664A">
        <w:rPr>
          <w:rFonts w:ascii="Arial" w:hAnsi="Arial" w:cs="Arial"/>
          <w:u w:val="double"/>
        </w:rPr>
        <w:t>Development within any land use designation may gain incentives when implementing low impact development techniques.</w:t>
      </w:r>
      <w:r w:rsidR="54611E46" w:rsidRPr="00E8664A">
        <w:rPr>
          <w:rFonts w:ascii="Arial" w:hAnsi="Arial" w:cs="Arial"/>
          <w:u w:val="double"/>
        </w:rPr>
        <w:t xml:space="preserve"> Density </w:t>
      </w:r>
      <w:r w:rsidR="2A6B23F3" w:rsidRPr="00E8664A">
        <w:rPr>
          <w:rFonts w:ascii="Arial" w:hAnsi="Arial" w:cs="Arial"/>
          <w:u w:val="double"/>
        </w:rPr>
        <w:t xml:space="preserve">and </w:t>
      </w:r>
      <w:r w:rsidR="7FAB833F" w:rsidRPr="00E8664A">
        <w:rPr>
          <w:rFonts w:ascii="Arial" w:hAnsi="Arial" w:cs="Arial"/>
          <w:u w:val="double"/>
        </w:rPr>
        <w:t>intensity</w:t>
      </w:r>
      <w:r w:rsidR="2A6B23F3" w:rsidRPr="00E8664A">
        <w:rPr>
          <w:rFonts w:ascii="Arial" w:hAnsi="Arial" w:cs="Arial"/>
          <w:u w:val="double"/>
        </w:rPr>
        <w:t xml:space="preserve"> </w:t>
      </w:r>
      <w:r w:rsidR="54611E46" w:rsidRPr="00E8664A">
        <w:rPr>
          <w:rFonts w:ascii="Arial" w:hAnsi="Arial" w:cs="Arial"/>
          <w:u w:val="double"/>
        </w:rPr>
        <w:t>bonuses</w:t>
      </w:r>
      <w:r w:rsidR="633DCE95" w:rsidRPr="00E8664A">
        <w:rPr>
          <w:rFonts w:ascii="Arial" w:hAnsi="Arial" w:cs="Arial"/>
          <w:u w:val="double"/>
        </w:rPr>
        <w:t>,</w:t>
      </w:r>
      <w:r w:rsidR="54611E46" w:rsidRPr="00E8664A">
        <w:rPr>
          <w:rFonts w:ascii="Arial" w:hAnsi="Arial" w:cs="Arial"/>
          <w:u w:val="double"/>
        </w:rPr>
        <w:t xml:space="preserve"> and clustering lots </w:t>
      </w:r>
      <w:r w:rsidR="002B6418" w:rsidRPr="00E8664A">
        <w:rPr>
          <w:rFonts w:ascii="Arial" w:hAnsi="Arial" w:cs="Arial"/>
          <w:u w:val="double"/>
        </w:rPr>
        <w:t>are</w:t>
      </w:r>
      <w:r w:rsidR="54611E46" w:rsidRPr="00E8664A">
        <w:rPr>
          <w:rFonts w:ascii="Arial" w:hAnsi="Arial" w:cs="Arial"/>
          <w:u w:val="double"/>
        </w:rPr>
        <w:t xml:space="preserve"> </w:t>
      </w:r>
      <w:r w:rsidR="17746F66" w:rsidRPr="00E8664A">
        <w:rPr>
          <w:rFonts w:ascii="Arial" w:hAnsi="Arial" w:cs="Arial"/>
          <w:u w:val="double"/>
        </w:rPr>
        <w:t>prohibited in rural land use designations.</w:t>
      </w:r>
    </w:p>
    <w:p w14:paraId="17513D4E" w14:textId="306D6ED6" w:rsidR="00F122B4" w:rsidRPr="00E8664A" w:rsidRDefault="305A1123" w:rsidP="06C350A4">
      <w:pPr>
        <w:ind w:left="1350" w:hanging="1350"/>
        <w:jc w:val="both"/>
        <w:rPr>
          <w:rFonts w:ascii="Arial" w:hAnsi="Arial" w:cs="Arial"/>
          <w:u w:val="double"/>
        </w:rPr>
      </w:pPr>
      <w:r w:rsidRPr="00E8664A">
        <w:rPr>
          <w:rFonts w:ascii="Arial" w:hAnsi="Arial" w:cs="Arial"/>
          <w:u w:val="double"/>
        </w:rPr>
        <w:t>SG 2.1.5:</w:t>
      </w:r>
      <w:r w:rsidR="00F122B4">
        <w:tab/>
      </w:r>
      <w:r w:rsidR="0B4C043F" w:rsidRPr="00E8664A">
        <w:rPr>
          <w:rFonts w:ascii="Arial" w:hAnsi="Arial" w:cs="Arial"/>
          <w:u w:val="double"/>
        </w:rPr>
        <w:t>Developments meeting the criteria below may arrange lots</w:t>
      </w:r>
      <w:r w:rsidR="3EC97275" w:rsidRPr="00E8664A">
        <w:rPr>
          <w:rFonts w:ascii="Arial" w:hAnsi="Arial" w:cs="Arial"/>
          <w:u w:val="double"/>
        </w:rPr>
        <w:t xml:space="preserve"> in a compact fashion </w:t>
      </w:r>
      <w:r w:rsidR="4EAB2DA7" w:rsidRPr="00E8664A">
        <w:rPr>
          <w:rFonts w:ascii="Arial" w:hAnsi="Arial" w:cs="Arial"/>
          <w:u w:val="double"/>
        </w:rPr>
        <w:t xml:space="preserve">(clustering) </w:t>
      </w:r>
      <w:r w:rsidR="3EC97275" w:rsidRPr="00E8664A">
        <w:rPr>
          <w:rFonts w:ascii="Arial" w:hAnsi="Arial" w:cs="Arial"/>
          <w:u w:val="double"/>
        </w:rPr>
        <w:t>and are authorized and encouraged to be smaller than typically allowed in the zoning classification</w:t>
      </w:r>
      <w:r w:rsidR="1BC96052" w:rsidRPr="00E8664A">
        <w:rPr>
          <w:rFonts w:ascii="Arial" w:hAnsi="Arial" w:cs="Arial"/>
          <w:u w:val="double"/>
        </w:rPr>
        <w:t xml:space="preserve"> in urban residential land use classifications</w:t>
      </w:r>
      <w:r w:rsidR="3EC97275" w:rsidRPr="00E8664A">
        <w:rPr>
          <w:rFonts w:ascii="Arial" w:hAnsi="Arial" w:cs="Arial"/>
          <w:u w:val="double"/>
        </w:rPr>
        <w:t>.</w:t>
      </w:r>
    </w:p>
    <w:p w14:paraId="12FE6199" w14:textId="327B1D78" w:rsidR="1648A722" w:rsidRPr="00E8664A" w:rsidRDefault="1648A722" w:rsidP="00E8664A">
      <w:pPr>
        <w:pStyle w:val="ListParagraph"/>
        <w:numPr>
          <w:ilvl w:val="0"/>
          <w:numId w:val="1"/>
        </w:numPr>
        <w:ind w:left="1710"/>
        <w:jc w:val="both"/>
        <w:rPr>
          <w:rFonts w:ascii="Arial" w:hAnsi="Arial" w:cs="Arial"/>
          <w:u w:val="double"/>
        </w:rPr>
      </w:pPr>
      <w:r w:rsidRPr="00E8664A">
        <w:rPr>
          <w:rFonts w:ascii="Arial" w:hAnsi="Arial" w:cs="Arial"/>
          <w:u w:val="double"/>
        </w:rPr>
        <w:t>The site must be within Urban Low Intensit</w:t>
      </w:r>
      <w:r w:rsidR="3A2E196D" w:rsidRPr="00E8664A">
        <w:rPr>
          <w:rFonts w:ascii="Arial" w:hAnsi="Arial" w:cs="Arial"/>
          <w:u w:val="double"/>
        </w:rPr>
        <w:t>y,</w:t>
      </w:r>
      <w:r w:rsidRPr="00E8664A">
        <w:rPr>
          <w:rFonts w:ascii="Arial" w:hAnsi="Arial" w:cs="Arial"/>
          <w:u w:val="double"/>
        </w:rPr>
        <w:t xml:space="preserve"> Urban Medium Intensity</w:t>
      </w:r>
      <w:r w:rsidR="09A0DEBD" w:rsidRPr="00E8664A">
        <w:rPr>
          <w:rFonts w:ascii="Arial" w:hAnsi="Arial" w:cs="Arial"/>
          <w:u w:val="double"/>
        </w:rPr>
        <w:t>, and Urban High Intensity</w:t>
      </w:r>
      <w:r w:rsidRPr="00E8664A">
        <w:rPr>
          <w:rFonts w:ascii="Arial" w:hAnsi="Arial" w:cs="Arial"/>
          <w:u w:val="double"/>
        </w:rPr>
        <w:t xml:space="preserve"> urban residential land use designations.</w:t>
      </w:r>
    </w:p>
    <w:p w14:paraId="3DCCFD03" w14:textId="56CAB56D" w:rsidR="00F122B4" w:rsidRPr="00E8664A" w:rsidRDefault="120F0CE8" w:rsidP="00E8664A">
      <w:pPr>
        <w:pStyle w:val="ListParagraph"/>
        <w:numPr>
          <w:ilvl w:val="0"/>
          <w:numId w:val="1"/>
        </w:numPr>
        <w:ind w:left="1710"/>
        <w:jc w:val="both"/>
        <w:rPr>
          <w:rFonts w:ascii="Arial" w:hAnsi="Arial" w:cs="Arial"/>
          <w:u w:val="double"/>
        </w:rPr>
      </w:pPr>
      <w:r w:rsidRPr="00E8664A">
        <w:rPr>
          <w:rFonts w:ascii="Arial" w:hAnsi="Arial" w:cs="Arial"/>
          <w:u w:val="double"/>
        </w:rPr>
        <w:t>The site must be serviced by central utilities at the time of application for development approval if the developer chooses to cluster the lots and receive density bonuses.</w:t>
      </w:r>
    </w:p>
    <w:p w14:paraId="7AC6AB65" w14:textId="04D535AC" w:rsidR="3F6E86C5" w:rsidRPr="00E8664A" w:rsidRDefault="3F6E86C5" w:rsidP="06C350A4">
      <w:pPr>
        <w:ind w:left="1350" w:hanging="1350"/>
        <w:jc w:val="both"/>
        <w:rPr>
          <w:rFonts w:ascii="Arial" w:hAnsi="Arial" w:cs="Arial"/>
          <w:u w:val="double"/>
        </w:rPr>
      </w:pPr>
      <w:r w:rsidRPr="00E8664A">
        <w:rPr>
          <w:rFonts w:ascii="Arial" w:hAnsi="Arial" w:cs="Arial"/>
          <w:u w:val="double"/>
        </w:rPr>
        <w:t>SG 2.1.</w:t>
      </w:r>
      <w:r w:rsidR="5D8D5690" w:rsidRPr="00E8664A">
        <w:rPr>
          <w:rFonts w:ascii="Arial" w:hAnsi="Arial" w:cs="Arial"/>
          <w:u w:val="double"/>
        </w:rPr>
        <w:t>6</w:t>
      </w:r>
      <w:r w:rsidRPr="00E8664A">
        <w:rPr>
          <w:rFonts w:ascii="Arial" w:hAnsi="Arial" w:cs="Arial"/>
          <w:u w:val="double"/>
        </w:rPr>
        <w:t>:</w:t>
      </w:r>
      <w:r>
        <w:tab/>
      </w:r>
      <w:r w:rsidR="7BD83B15" w:rsidRPr="00E8664A">
        <w:rPr>
          <w:rFonts w:ascii="Arial" w:hAnsi="Arial" w:cs="Arial"/>
          <w:u w:val="double"/>
        </w:rPr>
        <w:t>Density bonus</w:t>
      </w:r>
      <w:r w:rsidR="46D09E85" w:rsidRPr="00E8664A">
        <w:rPr>
          <w:rFonts w:ascii="Arial" w:hAnsi="Arial" w:cs="Arial"/>
          <w:u w:val="double"/>
        </w:rPr>
        <w:t xml:space="preserve"> incentives </w:t>
      </w:r>
      <w:r w:rsidR="6A0D7485" w:rsidRPr="00E8664A">
        <w:rPr>
          <w:rFonts w:ascii="Arial" w:hAnsi="Arial" w:cs="Arial"/>
          <w:u w:val="double"/>
        </w:rPr>
        <w:t>are permitted within</w:t>
      </w:r>
      <w:r w:rsidR="6C6DF81E" w:rsidRPr="00E8664A">
        <w:rPr>
          <w:rFonts w:ascii="Arial" w:hAnsi="Arial" w:cs="Arial"/>
          <w:u w:val="double"/>
        </w:rPr>
        <w:t xml:space="preserve"> </w:t>
      </w:r>
      <w:r w:rsidR="6A0D7485" w:rsidRPr="00E8664A">
        <w:rPr>
          <w:rFonts w:ascii="Arial" w:hAnsi="Arial" w:cs="Arial"/>
          <w:u w:val="double"/>
        </w:rPr>
        <w:t>Urban Low Intensity</w:t>
      </w:r>
      <w:r w:rsidR="023697BB" w:rsidRPr="00E8664A">
        <w:rPr>
          <w:rFonts w:ascii="Arial" w:hAnsi="Arial" w:cs="Arial"/>
          <w:u w:val="double"/>
        </w:rPr>
        <w:t xml:space="preserve"> (increase up to </w:t>
      </w:r>
      <w:r w:rsidR="00270DDF">
        <w:rPr>
          <w:rFonts w:ascii="Arial" w:hAnsi="Arial" w:cs="Arial"/>
          <w:u w:val="double"/>
        </w:rPr>
        <w:t>8</w:t>
      </w:r>
      <w:r w:rsidR="023697BB" w:rsidRPr="00E8664A">
        <w:rPr>
          <w:rFonts w:ascii="Arial" w:hAnsi="Arial" w:cs="Arial"/>
          <w:u w:val="double"/>
        </w:rPr>
        <w:t xml:space="preserve"> du/acre)</w:t>
      </w:r>
      <w:r w:rsidR="6A0D7485" w:rsidRPr="00E8664A">
        <w:rPr>
          <w:rFonts w:ascii="Arial" w:hAnsi="Arial" w:cs="Arial"/>
          <w:u w:val="double"/>
        </w:rPr>
        <w:t xml:space="preserve">, and Urban Medium Intensity </w:t>
      </w:r>
      <w:r w:rsidR="3BE48E92" w:rsidRPr="00E8664A">
        <w:rPr>
          <w:rFonts w:ascii="Arial" w:hAnsi="Arial" w:cs="Arial"/>
          <w:u w:val="double"/>
        </w:rPr>
        <w:t xml:space="preserve">(increase up to </w:t>
      </w:r>
      <w:r w:rsidR="00270DDF">
        <w:rPr>
          <w:rFonts w:ascii="Arial" w:hAnsi="Arial" w:cs="Arial"/>
          <w:u w:val="double"/>
        </w:rPr>
        <w:t>16</w:t>
      </w:r>
      <w:r w:rsidR="3BE48E92" w:rsidRPr="00E8664A">
        <w:rPr>
          <w:rFonts w:ascii="Arial" w:hAnsi="Arial" w:cs="Arial"/>
          <w:u w:val="double"/>
        </w:rPr>
        <w:t xml:space="preserve"> du/acre) </w:t>
      </w:r>
      <w:r w:rsidR="6A0D7485" w:rsidRPr="00E8664A">
        <w:rPr>
          <w:rFonts w:ascii="Arial" w:hAnsi="Arial" w:cs="Arial"/>
          <w:u w:val="double"/>
        </w:rPr>
        <w:t>land use designations, when the following are met:</w:t>
      </w:r>
    </w:p>
    <w:p w14:paraId="50B55399" w14:textId="4D7C5CCB" w:rsidR="00F122B4" w:rsidRPr="00E8664A" w:rsidRDefault="0BD4C392" w:rsidP="4309FC61">
      <w:pPr>
        <w:pStyle w:val="ListParagraph"/>
        <w:numPr>
          <w:ilvl w:val="0"/>
          <w:numId w:val="5"/>
        </w:numPr>
        <w:spacing w:before="160"/>
        <w:ind w:left="1710"/>
        <w:jc w:val="both"/>
        <w:rPr>
          <w:rFonts w:ascii="Arial" w:hAnsi="Arial" w:cs="Arial"/>
          <w:u w:val="double"/>
        </w:rPr>
      </w:pPr>
      <w:r w:rsidRPr="00E8664A">
        <w:rPr>
          <w:rFonts w:ascii="Arial" w:hAnsi="Arial" w:cs="Arial"/>
          <w:u w:val="double"/>
        </w:rPr>
        <w:t>A</w:t>
      </w:r>
      <w:r w:rsidR="082CC93D" w:rsidRPr="00E8664A">
        <w:rPr>
          <w:rFonts w:ascii="Arial" w:hAnsi="Arial" w:cs="Arial"/>
          <w:u w:val="double"/>
        </w:rPr>
        <w:t xml:space="preserve"> </w:t>
      </w:r>
      <w:r w:rsidR="7BD83B15" w:rsidRPr="00E8664A">
        <w:rPr>
          <w:rFonts w:ascii="Arial" w:hAnsi="Arial" w:cs="Arial"/>
          <w:u w:val="double"/>
        </w:rPr>
        <w:t>subdivision implementing low impact development techniques</w:t>
      </w:r>
      <w:r w:rsidR="082CC93D" w:rsidRPr="00E8664A">
        <w:rPr>
          <w:rFonts w:ascii="Arial" w:hAnsi="Arial" w:cs="Arial"/>
          <w:u w:val="double"/>
        </w:rPr>
        <w:t xml:space="preserve"> </w:t>
      </w:r>
      <w:r w:rsidRPr="00E8664A">
        <w:rPr>
          <w:rFonts w:ascii="Arial" w:hAnsi="Arial" w:cs="Arial"/>
          <w:u w:val="double"/>
        </w:rPr>
        <w:t xml:space="preserve">will calculate the base yield </w:t>
      </w:r>
      <w:r w:rsidR="082CC93D" w:rsidRPr="00E8664A">
        <w:rPr>
          <w:rFonts w:ascii="Arial" w:hAnsi="Arial" w:cs="Arial"/>
          <w:u w:val="double"/>
        </w:rPr>
        <w:t>prior to any potential bonuses</w:t>
      </w:r>
      <w:r w:rsidRPr="00E8664A">
        <w:rPr>
          <w:rFonts w:ascii="Arial" w:hAnsi="Arial" w:cs="Arial"/>
          <w:u w:val="double"/>
        </w:rPr>
        <w:t xml:space="preserve"> and </w:t>
      </w:r>
      <w:r w:rsidR="2D511DEB" w:rsidRPr="00E8664A">
        <w:rPr>
          <w:rFonts w:ascii="Arial" w:hAnsi="Arial" w:cs="Arial"/>
          <w:u w:val="double"/>
        </w:rPr>
        <w:t>may</w:t>
      </w:r>
      <w:r w:rsidRPr="00E8664A">
        <w:rPr>
          <w:rFonts w:ascii="Arial" w:hAnsi="Arial" w:cs="Arial"/>
          <w:u w:val="double"/>
        </w:rPr>
        <w:t xml:space="preserve"> cluster the density in the land use designation with the least environmental impacts.</w:t>
      </w:r>
    </w:p>
    <w:p w14:paraId="09AF628F" w14:textId="49D63495" w:rsidR="082CC93D" w:rsidRPr="00E8664A" w:rsidRDefault="082CC93D" w:rsidP="47E0A7E2">
      <w:pPr>
        <w:pStyle w:val="ListParagraph"/>
        <w:numPr>
          <w:ilvl w:val="0"/>
          <w:numId w:val="5"/>
        </w:numPr>
        <w:spacing w:before="160"/>
        <w:ind w:left="1710"/>
        <w:jc w:val="both"/>
        <w:rPr>
          <w:rFonts w:ascii="Arial" w:hAnsi="Arial" w:cs="Arial"/>
          <w:u w:val="double"/>
        </w:rPr>
      </w:pPr>
      <w:r w:rsidRPr="00E8664A">
        <w:rPr>
          <w:rFonts w:ascii="Arial" w:hAnsi="Arial" w:cs="Arial"/>
          <w:u w:val="double"/>
        </w:rPr>
        <w:t>In no event shall the yield bonus exceed capacity for existing public infrastructure as measured by concurrency management systems in the land development regulations or § 206 School Planning, Volusia County Charter</w:t>
      </w:r>
      <w:r w:rsidR="5EDC8330" w:rsidRPr="00E8664A">
        <w:rPr>
          <w:rFonts w:ascii="Arial" w:hAnsi="Arial" w:cs="Arial"/>
          <w:u w:val="double"/>
        </w:rPr>
        <w:t>, or Florida Fire Prevention Code, as amended</w:t>
      </w:r>
      <w:r w:rsidRPr="00E8664A">
        <w:rPr>
          <w:rFonts w:ascii="Arial" w:hAnsi="Arial" w:cs="Arial"/>
          <w:u w:val="double"/>
        </w:rPr>
        <w:t>.</w:t>
      </w:r>
    </w:p>
    <w:p w14:paraId="2A9DE797" w14:textId="22C189D5" w:rsidR="674E7B01" w:rsidRPr="00E8664A" w:rsidRDefault="674E7B01" w:rsidP="47E0A7E2">
      <w:pPr>
        <w:pStyle w:val="ListParagraph"/>
        <w:numPr>
          <w:ilvl w:val="0"/>
          <w:numId w:val="5"/>
        </w:numPr>
        <w:spacing w:before="160"/>
        <w:ind w:left="1710"/>
        <w:jc w:val="both"/>
        <w:rPr>
          <w:rFonts w:ascii="Arial" w:hAnsi="Arial" w:cs="Arial"/>
          <w:u w:val="double"/>
        </w:rPr>
      </w:pPr>
      <w:r w:rsidRPr="00E8664A">
        <w:rPr>
          <w:rFonts w:ascii="Arial" w:hAnsi="Arial" w:cs="Arial"/>
          <w:u w:val="double"/>
        </w:rPr>
        <w:lastRenderedPageBreak/>
        <w:t>In no event shall a density bonus be permitted within the Natural Resource Management Area</w:t>
      </w:r>
      <w:r w:rsidR="656AE72E" w:rsidRPr="00E8664A">
        <w:rPr>
          <w:rFonts w:ascii="Arial" w:hAnsi="Arial" w:cs="Arial"/>
          <w:u w:val="double"/>
        </w:rPr>
        <w:t>, wetlands,</w:t>
      </w:r>
      <w:r w:rsidR="7973846D" w:rsidRPr="00E8664A">
        <w:rPr>
          <w:rFonts w:ascii="Arial" w:hAnsi="Arial" w:cs="Arial"/>
          <w:u w:val="double"/>
        </w:rPr>
        <w:t xml:space="preserve"> </w:t>
      </w:r>
      <w:r w:rsidR="4BEFCC55" w:rsidRPr="00E8664A">
        <w:rPr>
          <w:rFonts w:ascii="Arial" w:hAnsi="Arial" w:cs="Arial"/>
          <w:u w:val="double"/>
        </w:rPr>
        <w:t xml:space="preserve">or </w:t>
      </w:r>
      <w:r w:rsidR="7973846D" w:rsidRPr="00E8664A">
        <w:rPr>
          <w:rFonts w:ascii="Arial" w:hAnsi="Arial" w:cs="Arial"/>
          <w:u w:val="double"/>
        </w:rPr>
        <w:t>an area determined to be vulnerable to sea level rise as identified in the Regional Resiliency Action Plan</w:t>
      </w:r>
      <w:r w:rsidR="417C1A24" w:rsidRPr="00E8664A">
        <w:rPr>
          <w:rFonts w:ascii="Arial" w:hAnsi="Arial" w:cs="Arial"/>
          <w:u w:val="double"/>
        </w:rPr>
        <w:t>.</w:t>
      </w:r>
    </w:p>
    <w:p w14:paraId="176453BE" w14:textId="73A29C23" w:rsidR="1048BCB1" w:rsidRPr="00E8664A" w:rsidRDefault="417C1A24" w:rsidP="4309FC61">
      <w:pPr>
        <w:pStyle w:val="ListParagraph"/>
        <w:numPr>
          <w:ilvl w:val="0"/>
          <w:numId w:val="5"/>
        </w:numPr>
        <w:spacing w:before="160"/>
        <w:ind w:left="1710"/>
        <w:jc w:val="both"/>
        <w:rPr>
          <w:rFonts w:ascii="Arial" w:hAnsi="Arial" w:cs="Arial"/>
          <w:u w:val="double"/>
        </w:rPr>
      </w:pPr>
      <w:r w:rsidRPr="00E8664A">
        <w:rPr>
          <w:rFonts w:ascii="Arial" w:hAnsi="Arial" w:cs="Arial"/>
          <w:u w:val="double"/>
        </w:rPr>
        <w:t xml:space="preserve">In no event shall a density bonus be permitted </w:t>
      </w:r>
      <w:r w:rsidR="7973846D" w:rsidRPr="00E8664A">
        <w:rPr>
          <w:rFonts w:ascii="Arial" w:hAnsi="Arial" w:cs="Arial"/>
          <w:u w:val="double"/>
        </w:rPr>
        <w:t>within the FEMA designated flood hazard area</w:t>
      </w:r>
      <w:r w:rsidR="265A3989" w:rsidRPr="00E8664A">
        <w:rPr>
          <w:rFonts w:ascii="Arial" w:hAnsi="Arial" w:cs="Arial"/>
          <w:u w:val="double"/>
        </w:rPr>
        <w:t xml:space="preserve"> (100-year floodplain).</w:t>
      </w:r>
    </w:p>
    <w:p w14:paraId="52B0B4D1" w14:textId="564D8C88" w:rsidR="53E020BE" w:rsidRPr="00E8664A" w:rsidRDefault="53E020BE" w:rsidP="06C350A4">
      <w:pPr>
        <w:ind w:left="1350" w:hanging="1350"/>
        <w:jc w:val="both"/>
        <w:rPr>
          <w:rFonts w:ascii="Arial" w:hAnsi="Arial" w:cs="Arial"/>
          <w:u w:val="double"/>
        </w:rPr>
      </w:pPr>
      <w:r w:rsidRPr="00E8664A">
        <w:rPr>
          <w:rFonts w:ascii="Arial" w:hAnsi="Arial" w:cs="Arial"/>
          <w:u w:val="double"/>
        </w:rPr>
        <w:t>SG 2.1.</w:t>
      </w:r>
      <w:r w:rsidR="52391115" w:rsidRPr="00E8664A">
        <w:rPr>
          <w:rFonts w:ascii="Arial" w:hAnsi="Arial" w:cs="Arial"/>
          <w:u w:val="double"/>
        </w:rPr>
        <w:t>7</w:t>
      </w:r>
      <w:r w:rsidRPr="00E8664A">
        <w:rPr>
          <w:rFonts w:ascii="Arial" w:hAnsi="Arial" w:cs="Arial"/>
          <w:u w:val="double"/>
        </w:rPr>
        <w:t>:</w:t>
      </w:r>
      <w:r>
        <w:tab/>
      </w:r>
      <w:r w:rsidR="5A1B3804" w:rsidRPr="00E8664A">
        <w:rPr>
          <w:rFonts w:ascii="Arial" w:hAnsi="Arial" w:cs="Arial"/>
          <w:u w:val="double"/>
        </w:rPr>
        <w:t>Intensity bonus</w:t>
      </w:r>
      <w:r w:rsidR="0912C92B" w:rsidRPr="00E8664A">
        <w:rPr>
          <w:rFonts w:ascii="Arial" w:hAnsi="Arial" w:cs="Arial"/>
          <w:u w:val="double"/>
        </w:rPr>
        <w:t xml:space="preserve"> incentives, up to </w:t>
      </w:r>
      <w:r w:rsidR="00071640">
        <w:rPr>
          <w:rFonts w:ascii="Arial" w:hAnsi="Arial" w:cs="Arial"/>
          <w:u w:val="double"/>
        </w:rPr>
        <w:t>10</w:t>
      </w:r>
      <w:r w:rsidR="0912C92B" w:rsidRPr="00E8664A">
        <w:rPr>
          <w:rFonts w:ascii="Arial" w:hAnsi="Arial" w:cs="Arial"/>
          <w:u w:val="double"/>
        </w:rPr>
        <w:t xml:space="preserve">% of the maximum floor area ratio is permitted within </w:t>
      </w:r>
      <w:r w:rsidR="234AEB2F" w:rsidRPr="00E8664A">
        <w:rPr>
          <w:rFonts w:ascii="Arial" w:hAnsi="Arial" w:cs="Arial"/>
          <w:u w:val="double"/>
        </w:rPr>
        <w:t>the following</w:t>
      </w:r>
      <w:r w:rsidR="2FA2BAD4" w:rsidRPr="00E8664A">
        <w:rPr>
          <w:rFonts w:ascii="Arial" w:hAnsi="Arial" w:cs="Arial"/>
          <w:u w:val="double"/>
        </w:rPr>
        <w:t xml:space="preserve"> </w:t>
      </w:r>
      <w:r w:rsidR="0912C92B" w:rsidRPr="00E8664A">
        <w:rPr>
          <w:rFonts w:ascii="Arial" w:hAnsi="Arial" w:cs="Arial"/>
          <w:u w:val="double"/>
        </w:rPr>
        <w:t>urban land use designation</w:t>
      </w:r>
      <w:r w:rsidR="5F9DA847" w:rsidRPr="00E8664A">
        <w:rPr>
          <w:rFonts w:ascii="Arial" w:hAnsi="Arial" w:cs="Arial"/>
          <w:u w:val="double"/>
        </w:rPr>
        <w:t>s</w:t>
      </w:r>
      <w:r w:rsidR="3C9889DD" w:rsidRPr="00E8664A">
        <w:rPr>
          <w:rFonts w:ascii="Arial" w:hAnsi="Arial" w:cs="Arial"/>
          <w:u w:val="double"/>
        </w:rPr>
        <w:t>:</w:t>
      </w:r>
    </w:p>
    <w:p w14:paraId="10F3740D" w14:textId="6BD61BD0"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Low Intensity</w:t>
      </w:r>
    </w:p>
    <w:p w14:paraId="64B770A3" w14:textId="182C7502"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Medium Intensity</w:t>
      </w:r>
    </w:p>
    <w:p w14:paraId="2403A733" w14:textId="6527CDC1" w:rsidR="3C9889DD" w:rsidRPr="00E8664A" w:rsidRDefault="3C9889DD" w:rsidP="06C350A4">
      <w:pPr>
        <w:spacing w:after="0"/>
        <w:ind w:left="1710"/>
        <w:jc w:val="both"/>
        <w:rPr>
          <w:rFonts w:ascii="Arial" w:hAnsi="Arial" w:cs="Arial"/>
          <w:u w:val="double"/>
        </w:rPr>
      </w:pPr>
      <w:r w:rsidRPr="00E8664A">
        <w:rPr>
          <w:rFonts w:ascii="Arial" w:hAnsi="Arial" w:cs="Arial"/>
          <w:u w:val="double"/>
        </w:rPr>
        <w:t>Urban High Intensity</w:t>
      </w:r>
    </w:p>
    <w:p w14:paraId="5DD08888" w14:textId="004FE8F4" w:rsidR="3C9889DD" w:rsidRPr="00E8664A" w:rsidRDefault="3C9889DD" w:rsidP="06C350A4">
      <w:pPr>
        <w:spacing w:after="0"/>
        <w:ind w:left="1710"/>
        <w:jc w:val="both"/>
        <w:rPr>
          <w:rFonts w:ascii="Arial" w:hAnsi="Arial" w:cs="Arial"/>
          <w:u w:val="double"/>
        </w:rPr>
      </w:pPr>
      <w:r w:rsidRPr="00E8664A">
        <w:rPr>
          <w:rFonts w:ascii="Arial" w:hAnsi="Arial" w:cs="Arial"/>
          <w:u w:val="double"/>
        </w:rPr>
        <w:t>Commercial</w:t>
      </w:r>
    </w:p>
    <w:p w14:paraId="2AEFC4C9" w14:textId="0CA117C3" w:rsidR="3C9889DD" w:rsidRPr="00E8664A" w:rsidRDefault="3C9889DD" w:rsidP="06C350A4">
      <w:pPr>
        <w:spacing w:after="0"/>
        <w:ind w:left="1710"/>
        <w:jc w:val="both"/>
        <w:rPr>
          <w:rFonts w:ascii="Arial" w:hAnsi="Arial" w:cs="Arial"/>
          <w:u w:val="double"/>
        </w:rPr>
      </w:pPr>
      <w:r w:rsidRPr="00E8664A">
        <w:rPr>
          <w:rFonts w:ascii="Arial" w:hAnsi="Arial" w:cs="Arial"/>
          <w:u w:val="double"/>
        </w:rPr>
        <w:t>Industrial</w:t>
      </w:r>
    </w:p>
    <w:p w14:paraId="55644BF6" w14:textId="5C6AB4B2" w:rsidR="47E0A7E2" w:rsidRDefault="47E0A7E2" w:rsidP="47E0A7E2">
      <w:pPr>
        <w:spacing w:after="0"/>
        <w:ind w:left="1710"/>
        <w:jc w:val="both"/>
        <w:rPr>
          <w:rFonts w:ascii="Arial" w:hAnsi="Arial" w:cs="Arial"/>
          <w:highlight w:val="yellow"/>
          <w:u w:val="single"/>
        </w:rPr>
      </w:pPr>
    </w:p>
    <w:p w14:paraId="5072F9DD" w14:textId="034957F2" w:rsidR="00F15C6F" w:rsidRPr="00F15C6F" w:rsidRDefault="2DF84882" w:rsidP="4309FC61">
      <w:pPr>
        <w:ind w:left="1350" w:hanging="1350"/>
        <w:jc w:val="both"/>
        <w:rPr>
          <w:rFonts w:ascii="Arial" w:hAnsi="Arial" w:cs="Arial"/>
          <w:u w:val="single"/>
        </w:rPr>
      </w:pPr>
      <w:r w:rsidRPr="00E8664A">
        <w:rPr>
          <w:rFonts w:ascii="Arial" w:hAnsi="Arial" w:cs="Arial"/>
          <w:u w:val="double"/>
        </w:rPr>
        <w:t>SG 2.1.</w:t>
      </w:r>
      <w:r w:rsidR="412D5A5E" w:rsidRPr="00E8664A">
        <w:rPr>
          <w:rFonts w:ascii="Arial" w:hAnsi="Arial" w:cs="Arial"/>
          <w:u w:val="double"/>
        </w:rPr>
        <w:t>8</w:t>
      </w:r>
      <w:r w:rsidRPr="00E8664A">
        <w:rPr>
          <w:rFonts w:ascii="Arial" w:hAnsi="Arial" w:cs="Arial"/>
          <w:u w:val="double"/>
        </w:rPr>
        <w:t>:</w:t>
      </w:r>
      <w:r w:rsidR="00F15C6F">
        <w:tab/>
      </w:r>
      <w:r w:rsidRPr="00E8664A">
        <w:rPr>
          <w:rFonts w:ascii="Arial" w:hAnsi="Arial" w:cs="Arial"/>
          <w:u w:val="double"/>
        </w:rPr>
        <w:t xml:space="preserve">Fill within the FEMA designated flood hazard area </w:t>
      </w:r>
      <w:r w:rsidR="5FA461CB" w:rsidRPr="00E8664A">
        <w:rPr>
          <w:rFonts w:ascii="Arial" w:hAnsi="Arial" w:cs="Arial"/>
          <w:u w:val="double"/>
        </w:rPr>
        <w:t xml:space="preserve">for the development of lots </w:t>
      </w:r>
      <w:r w:rsidRPr="00E8664A">
        <w:rPr>
          <w:rFonts w:ascii="Arial" w:hAnsi="Arial" w:cs="Arial"/>
          <w:u w:val="double"/>
        </w:rPr>
        <w:t xml:space="preserve">is </w:t>
      </w:r>
      <w:r w:rsidR="0B4324EF" w:rsidRPr="00E8664A">
        <w:rPr>
          <w:rFonts w:ascii="Arial" w:hAnsi="Arial" w:cs="Arial"/>
          <w:u w:val="double"/>
        </w:rPr>
        <w:t>prohibite</w:t>
      </w:r>
      <w:r w:rsidR="25FF8645" w:rsidRPr="00E8664A">
        <w:rPr>
          <w:rFonts w:ascii="Arial" w:hAnsi="Arial" w:cs="Arial"/>
          <w:u w:val="double"/>
        </w:rPr>
        <w:t>d within a low impact development project</w:t>
      </w:r>
      <w:r w:rsidR="0B4324EF" w:rsidRPr="00E8664A">
        <w:rPr>
          <w:rFonts w:ascii="Arial" w:hAnsi="Arial" w:cs="Arial"/>
          <w:u w:val="double"/>
        </w:rPr>
        <w:t>.</w:t>
      </w:r>
    </w:p>
    <w:p w14:paraId="19A09F8F" w14:textId="292A8EE2" w:rsidR="00F15C6F" w:rsidRPr="00F15C6F" w:rsidRDefault="00F15C6F" w:rsidP="66D181F4">
      <w:pPr>
        <w:jc w:val="both"/>
        <w:rPr>
          <w:rFonts w:ascii="Arial" w:hAnsi="Arial" w:cs="Arial"/>
          <w:u w:val="single"/>
        </w:rPr>
      </w:pPr>
    </w:p>
    <w:p w14:paraId="586F189F" w14:textId="72EF2839" w:rsidR="003A1024" w:rsidRDefault="003A1024" w:rsidP="00582BE8">
      <w:pPr>
        <w:jc w:val="both"/>
        <w:rPr>
          <w:rFonts w:ascii="Arial" w:hAnsi="Arial" w:cs="Arial"/>
        </w:rPr>
      </w:pPr>
      <w:r w:rsidRPr="000750DF">
        <w:rPr>
          <w:rFonts w:ascii="Arial" w:hAnsi="Arial" w:cs="Arial"/>
        </w:rPr>
        <w:tab/>
      </w:r>
      <w:r w:rsidRPr="000750DF">
        <w:rPr>
          <w:rFonts w:ascii="Arial" w:hAnsi="Arial" w:cs="Arial"/>
          <w:b/>
          <w:bCs/>
        </w:rPr>
        <w:t>SECTION</w:t>
      </w:r>
      <w:r w:rsidRPr="000750DF">
        <w:rPr>
          <w:rFonts w:ascii="Arial" w:hAnsi="Arial" w:cs="Arial"/>
        </w:rPr>
        <w:t xml:space="preserve"> </w:t>
      </w:r>
      <w:r w:rsidRPr="003A1024">
        <w:rPr>
          <w:rFonts w:ascii="Arial" w:hAnsi="Arial" w:cs="Arial"/>
          <w:b/>
          <w:bCs/>
        </w:rPr>
        <w:t>I</w:t>
      </w:r>
      <w:r>
        <w:rPr>
          <w:rFonts w:ascii="Arial" w:hAnsi="Arial" w:cs="Arial"/>
          <w:b/>
          <w:bCs/>
        </w:rPr>
        <w:t>I</w:t>
      </w:r>
      <w:r w:rsidRPr="000750DF">
        <w:rPr>
          <w:rFonts w:ascii="Arial" w:hAnsi="Arial" w:cs="Arial"/>
        </w:rPr>
        <w:t>: AMENDMENT</w:t>
      </w:r>
      <w:r>
        <w:rPr>
          <w:rFonts w:ascii="Arial" w:hAnsi="Arial" w:cs="Arial"/>
        </w:rPr>
        <w:t xml:space="preserve"> – Chapter 20, Definitions of the Volusia County Comprehensive Plan is amended as follows:</w:t>
      </w:r>
    </w:p>
    <w:p w14:paraId="39107D47" w14:textId="77777777" w:rsidR="003A1024" w:rsidRDefault="003A1024" w:rsidP="00582BE8">
      <w:pPr>
        <w:jc w:val="center"/>
        <w:rPr>
          <w:rFonts w:ascii="Arial" w:hAnsi="Arial" w:cs="Arial"/>
        </w:rPr>
      </w:pPr>
      <w:r>
        <w:rPr>
          <w:rFonts w:ascii="Arial" w:hAnsi="Arial" w:cs="Arial"/>
        </w:rPr>
        <w:t>*****</w:t>
      </w:r>
    </w:p>
    <w:p w14:paraId="20351280" w14:textId="107D13DD" w:rsidR="00CE0C74" w:rsidRPr="00E8664A" w:rsidRDefault="00CE0C74" w:rsidP="00582BE8">
      <w:pPr>
        <w:jc w:val="both"/>
        <w:rPr>
          <w:rFonts w:ascii="Arial" w:hAnsi="Arial" w:cs="Arial"/>
          <w:u w:val="double"/>
        </w:rPr>
      </w:pPr>
      <w:r w:rsidRPr="00E8664A">
        <w:rPr>
          <w:rFonts w:ascii="Arial" w:hAnsi="Arial" w:cs="Arial"/>
          <w:u w:val="double"/>
        </w:rPr>
        <w:t xml:space="preserve">“BASE YIELD” </w:t>
      </w:r>
      <w:r w:rsidR="00B937FC" w:rsidRPr="00E8664A">
        <w:rPr>
          <w:rFonts w:ascii="Arial" w:hAnsi="Arial" w:cs="Arial"/>
          <w:u w:val="double"/>
        </w:rPr>
        <w:t>–</w:t>
      </w:r>
      <w:r w:rsidRPr="00E8664A">
        <w:rPr>
          <w:rFonts w:ascii="Arial" w:hAnsi="Arial" w:cs="Arial"/>
          <w:u w:val="double"/>
        </w:rPr>
        <w:t xml:space="preserve"> </w:t>
      </w:r>
      <w:r w:rsidR="00B937FC" w:rsidRPr="00E8664A">
        <w:rPr>
          <w:rFonts w:ascii="Arial" w:hAnsi="Arial" w:cs="Arial"/>
          <w:u w:val="double"/>
        </w:rPr>
        <w:t xml:space="preserve">The gross acreage of a tract divided by the density of the underlying land use designation. In cases where tracts contain multiple land use designations, the base yield will be calculated separately for each </w:t>
      </w:r>
      <w:r w:rsidR="0048658C" w:rsidRPr="00E8664A">
        <w:rPr>
          <w:rFonts w:ascii="Arial" w:hAnsi="Arial" w:cs="Arial"/>
          <w:u w:val="double"/>
        </w:rPr>
        <w:t>land designation</w:t>
      </w:r>
      <w:r w:rsidR="00B937FC" w:rsidRPr="00E8664A">
        <w:rPr>
          <w:rFonts w:ascii="Arial" w:hAnsi="Arial" w:cs="Arial"/>
          <w:u w:val="double"/>
        </w:rPr>
        <w:t xml:space="preserve"> and added together to determine the total site’s base yield. The resultant number is the allowed number of residential dwelling units, prior to any potential bonuses.</w:t>
      </w:r>
    </w:p>
    <w:p w14:paraId="65150C47" w14:textId="63D80CEF" w:rsidR="00CE0C74" w:rsidRPr="00CE0C74" w:rsidRDefault="00CE0C74" w:rsidP="00CE0C74">
      <w:pPr>
        <w:jc w:val="center"/>
        <w:rPr>
          <w:rFonts w:ascii="Arial" w:hAnsi="Arial" w:cs="Arial"/>
        </w:rPr>
      </w:pPr>
      <w:r>
        <w:rPr>
          <w:rFonts w:ascii="Arial" w:hAnsi="Arial" w:cs="Arial"/>
        </w:rPr>
        <w:t>*****</w:t>
      </w:r>
    </w:p>
    <w:p w14:paraId="60E2622E" w14:textId="6B7E3DC8" w:rsidR="003A1024" w:rsidRPr="00E8664A" w:rsidRDefault="003A1024" w:rsidP="00582BE8">
      <w:pPr>
        <w:jc w:val="both"/>
        <w:rPr>
          <w:rFonts w:ascii="Arial" w:hAnsi="Arial" w:cs="Arial"/>
          <w:u w:val="double"/>
        </w:rPr>
      </w:pPr>
      <w:r w:rsidRPr="00E8664A">
        <w:rPr>
          <w:rFonts w:ascii="Arial" w:hAnsi="Arial" w:cs="Arial"/>
          <w:u w:val="double"/>
        </w:rPr>
        <w:t>“GREEN INFRASTRUCTURE” – A broad concept that encompasses the integration of natural and built systems for various purposes, including management</w:t>
      </w:r>
      <w:r w:rsidR="00C57BE7" w:rsidRPr="00E8664A">
        <w:rPr>
          <w:rFonts w:ascii="Arial" w:hAnsi="Arial" w:cs="Arial"/>
          <w:u w:val="double"/>
        </w:rPr>
        <w:t xml:space="preserve"> of stormwater quantity and quality</w:t>
      </w:r>
      <w:r w:rsidRPr="00E8664A">
        <w:rPr>
          <w:rFonts w:ascii="Arial" w:hAnsi="Arial" w:cs="Arial"/>
          <w:u w:val="double"/>
        </w:rPr>
        <w:t>.</w:t>
      </w:r>
    </w:p>
    <w:p w14:paraId="2B23F7E7" w14:textId="7C8C74BB" w:rsidR="00146826" w:rsidRPr="00146826" w:rsidRDefault="00146826" w:rsidP="00582BE8">
      <w:pPr>
        <w:jc w:val="center"/>
        <w:rPr>
          <w:rFonts w:ascii="Arial" w:hAnsi="Arial" w:cs="Arial"/>
        </w:rPr>
      </w:pPr>
      <w:r>
        <w:rPr>
          <w:rFonts w:ascii="Arial" w:hAnsi="Arial" w:cs="Arial"/>
        </w:rPr>
        <w:t>*****</w:t>
      </w:r>
    </w:p>
    <w:p w14:paraId="29EEC56B" w14:textId="79DBE398" w:rsidR="003A1024" w:rsidRPr="00E8664A" w:rsidRDefault="4A997CBA" w:rsidP="00582BE8">
      <w:pPr>
        <w:jc w:val="both"/>
        <w:rPr>
          <w:rFonts w:ascii="Arial" w:hAnsi="Arial" w:cs="Arial"/>
          <w:u w:val="double"/>
        </w:rPr>
      </w:pPr>
      <w:r w:rsidRPr="00E8664A">
        <w:rPr>
          <w:rFonts w:ascii="Arial" w:hAnsi="Arial" w:cs="Arial"/>
          <w:u w:val="double"/>
        </w:rPr>
        <w:t>“LOW IMPACT DEVELOPMENT” – An ecologically driven stormwater management approach, prioritizing soft engineering strategies to intricately mitigate rainfall on-site through a network of vegetated treatments.</w:t>
      </w:r>
    </w:p>
    <w:p w14:paraId="4281CBB8" w14:textId="2361C65B" w:rsidR="1DD3EE4D" w:rsidRDefault="1DD3EE4D" w:rsidP="66D181F4">
      <w:pPr>
        <w:jc w:val="center"/>
        <w:rPr>
          <w:rFonts w:ascii="Arial" w:hAnsi="Arial" w:cs="Arial"/>
        </w:rPr>
      </w:pPr>
      <w:r w:rsidRPr="66D181F4">
        <w:rPr>
          <w:rFonts w:ascii="Arial" w:hAnsi="Arial" w:cs="Arial"/>
        </w:rPr>
        <w:t>*****</w:t>
      </w:r>
    </w:p>
    <w:p w14:paraId="790AD74F" w14:textId="26550CE1" w:rsidR="00146826" w:rsidRDefault="00146826" w:rsidP="00582BE8">
      <w:pPr>
        <w:jc w:val="both"/>
        <w:rPr>
          <w:rFonts w:ascii="Arial" w:hAnsi="Arial" w:cs="Arial"/>
          <w:b/>
          <w:bCs/>
        </w:rPr>
      </w:pPr>
      <w:r>
        <w:rPr>
          <w:rFonts w:ascii="Arial" w:hAnsi="Arial" w:cs="Arial"/>
          <w:b/>
          <w:bCs/>
        </w:rPr>
        <w:t>List of Acronyms and Abbreviations</w:t>
      </w:r>
    </w:p>
    <w:p w14:paraId="352B9194" w14:textId="77777777" w:rsidR="00146826" w:rsidRDefault="00146826" w:rsidP="00582BE8">
      <w:pPr>
        <w:jc w:val="center"/>
        <w:rPr>
          <w:rFonts w:ascii="Arial" w:hAnsi="Arial" w:cs="Arial"/>
        </w:rPr>
      </w:pPr>
      <w:r>
        <w:rPr>
          <w:rFonts w:ascii="Arial" w:hAnsi="Arial" w:cs="Arial"/>
        </w:rPr>
        <w:t>*****</w:t>
      </w:r>
    </w:p>
    <w:p w14:paraId="62ECCAD9" w14:textId="72844217" w:rsidR="00146826" w:rsidRPr="00E8664A" w:rsidRDefault="00146826" w:rsidP="00582BE8">
      <w:pPr>
        <w:jc w:val="both"/>
        <w:rPr>
          <w:rFonts w:ascii="Arial" w:hAnsi="Arial" w:cs="Arial"/>
          <w:u w:val="double"/>
        </w:rPr>
      </w:pPr>
      <w:r w:rsidRPr="00E8664A">
        <w:rPr>
          <w:rFonts w:ascii="Arial" w:hAnsi="Arial" w:cs="Arial"/>
          <w:u w:val="double"/>
        </w:rPr>
        <w:t>GI</w:t>
      </w:r>
      <w:r w:rsidRPr="00E8664A">
        <w:rPr>
          <w:rFonts w:ascii="Arial" w:hAnsi="Arial" w:cs="Arial"/>
          <w:u w:val="double"/>
        </w:rPr>
        <w:tab/>
        <w:t>Green Infrastructure</w:t>
      </w:r>
    </w:p>
    <w:p w14:paraId="5EBE8ED1" w14:textId="19F7EEDD" w:rsidR="00146826" w:rsidRDefault="00146826" w:rsidP="00582BE8">
      <w:pPr>
        <w:jc w:val="center"/>
        <w:rPr>
          <w:rFonts w:ascii="Arial" w:hAnsi="Arial" w:cs="Arial"/>
        </w:rPr>
      </w:pPr>
      <w:r>
        <w:rPr>
          <w:rFonts w:ascii="Arial" w:hAnsi="Arial" w:cs="Arial"/>
        </w:rPr>
        <w:t>*****</w:t>
      </w:r>
    </w:p>
    <w:p w14:paraId="0D839786" w14:textId="07244453" w:rsidR="00146826" w:rsidRPr="00E8664A" w:rsidRDefault="00146826" w:rsidP="00582BE8">
      <w:pPr>
        <w:jc w:val="both"/>
        <w:rPr>
          <w:rFonts w:ascii="Arial" w:hAnsi="Arial" w:cs="Arial"/>
          <w:u w:val="double"/>
        </w:rPr>
      </w:pPr>
      <w:r w:rsidRPr="00E8664A">
        <w:rPr>
          <w:rFonts w:ascii="Arial" w:hAnsi="Arial" w:cs="Arial"/>
          <w:u w:val="double"/>
        </w:rPr>
        <w:t>LID</w:t>
      </w:r>
      <w:r w:rsidRPr="00E8664A">
        <w:rPr>
          <w:rFonts w:ascii="Arial" w:hAnsi="Arial" w:cs="Arial"/>
          <w:u w:val="double"/>
        </w:rPr>
        <w:tab/>
        <w:t>Low Impact Development</w:t>
      </w:r>
    </w:p>
    <w:p w14:paraId="022F0DFB" w14:textId="4C20CECF" w:rsidR="00146826" w:rsidRDefault="00146826" w:rsidP="00582BE8">
      <w:pPr>
        <w:jc w:val="center"/>
        <w:rPr>
          <w:rFonts w:ascii="Arial" w:hAnsi="Arial" w:cs="Arial"/>
        </w:rPr>
      </w:pPr>
      <w:r>
        <w:rPr>
          <w:rFonts w:ascii="Arial" w:hAnsi="Arial" w:cs="Arial"/>
        </w:rPr>
        <w:lastRenderedPageBreak/>
        <w:t>*****</w:t>
      </w:r>
    </w:p>
    <w:p w14:paraId="4FF00A15" w14:textId="2A0077AA" w:rsidR="00582BE8" w:rsidRDefault="00582BE8" w:rsidP="00582BE8">
      <w:pPr>
        <w:jc w:val="both"/>
        <w:rPr>
          <w:rFonts w:ascii="Arial" w:hAnsi="Arial" w:cs="Arial"/>
        </w:rPr>
      </w:pPr>
      <w:r>
        <w:rPr>
          <w:rFonts w:ascii="Arial" w:hAnsi="Arial" w:cs="Arial"/>
        </w:rPr>
        <w:tab/>
      </w:r>
      <w:r>
        <w:rPr>
          <w:rFonts w:ascii="Arial" w:hAnsi="Arial" w:cs="Arial"/>
          <w:b/>
          <w:bCs/>
        </w:rPr>
        <w:t xml:space="preserve">SECTION IV: </w:t>
      </w:r>
      <w:r>
        <w:rPr>
          <w:rFonts w:ascii="Arial" w:hAnsi="Arial" w:cs="Arial"/>
        </w:rPr>
        <w:t>INCLUSION IN COMPREHENSIVE PLAN – The provisions of this ordinance shall be included and incorporated into the Volusia County Comprehensive Plan as additions or amendments thereto,</w:t>
      </w:r>
      <w:r w:rsidR="00A9292A">
        <w:rPr>
          <w:rFonts w:ascii="Arial" w:hAnsi="Arial" w:cs="Arial"/>
        </w:rPr>
        <w:t xml:space="preserve"> </w:t>
      </w:r>
      <w:r>
        <w:rPr>
          <w:rFonts w:ascii="Arial" w:hAnsi="Arial" w:cs="Arial"/>
        </w:rPr>
        <w:t>and shall be appropriately renumbered to conform to the Volusia County Comprehensive Plan.</w:t>
      </w:r>
    </w:p>
    <w:p w14:paraId="5A37D726" w14:textId="415EF432" w:rsidR="00582BE8" w:rsidRDefault="00582BE8" w:rsidP="00582BE8">
      <w:pPr>
        <w:jc w:val="both"/>
        <w:rPr>
          <w:rFonts w:ascii="Arial" w:hAnsi="Arial" w:cs="Arial"/>
        </w:rPr>
      </w:pPr>
      <w:r>
        <w:rPr>
          <w:rFonts w:ascii="Arial" w:hAnsi="Arial" w:cs="Arial"/>
        </w:rPr>
        <w:tab/>
      </w:r>
      <w:r w:rsidRPr="00582BE8">
        <w:rPr>
          <w:rFonts w:ascii="Arial" w:hAnsi="Arial" w:cs="Arial"/>
          <w:b/>
          <w:bCs/>
        </w:rPr>
        <w:t xml:space="preserve">SECTION V: </w:t>
      </w:r>
      <w:r>
        <w:rPr>
          <w:rFonts w:ascii="Arial" w:hAnsi="Arial" w:cs="Arial"/>
        </w:rPr>
        <w:t>SEVERABILITY – Should any word, phrase, sentence, subsection or section be eld by a court of competent jurisdiction to be illegal, void, unenforceable, or unconstitutional, then that word, phrase, sentence, subsection or section so held shall be severed from this ordinance and all other words, phrases, sentences, subsections, or sections shall remain in full force and effect.</w:t>
      </w:r>
    </w:p>
    <w:p w14:paraId="202952D6" w14:textId="46CA8B85" w:rsidR="00582BE8" w:rsidRPr="00582BE8" w:rsidRDefault="00582BE8" w:rsidP="00582BE8">
      <w:pPr>
        <w:ind w:firstLine="720"/>
        <w:jc w:val="both"/>
        <w:rPr>
          <w:rFonts w:ascii="Arial" w:hAnsi="Arial" w:cs="Arial"/>
        </w:rPr>
      </w:pPr>
      <w:r w:rsidRPr="00582BE8">
        <w:rPr>
          <w:rFonts w:ascii="Arial" w:hAnsi="Arial" w:cs="Arial"/>
          <w:b/>
          <w:bCs/>
        </w:rPr>
        <w:t>SECTION VI:</w:t>
      </w:r>
      <w:r w:rsidRPr="00582BE8">
        <w:rPr>
          <w:rFonts w:ascii="Arial" w:hAnsi="Arial" w:cs="Arial"/>
        </w:rPr>
        <w:t xml:space="preserve"> EFFECTIVE DATE – Within ten (10) days after enactment, a certified copy of this Ordinance shall be filed in the Office of the Secretary of State by the Clerk of the County Council and transmitted to the state land planning agency and any other agency or local government that provided timely comments pursuant to the expedited state review process in Section 163.3184(3), Florida Statutes. This Ordinance shall take effect upon the latter of the following dates: (a) thirty-one (31) days after the state land planning agency notifies the County that the plan amendment package is complete and the issuance of a certificate of consistency or conditional certificate of consistency by the Volusia County Growth Management Commission, or (b) issuance of a final order by the state land planning agency or the State of Florida Administration Commission determining the amendment adopted by this Ordinance to be in compliance.</w:t>
      </w:r>
    </w:p>
    <w:sectPr w:rsidR="00582BE8" w:rsidRPr="00582BE8" w:rsidSect="000750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A5E01" w14:textId="77777777" w:rsidR="002B6418" w:rsidRDefault="002B6418" w:rsidP="002B6418">
      <w:pPr>
        <w:spacing w:after="0" w:line="240" w:lineRule="auto"/>
      </w:pPr>
      <w:r>
        <w:separator/>
      </w:r>
    </w:p>
  </w:endnote>
  <w:endnote w:type="continuationSeparator" w:id="0">
    <w:p w14:paraId="6C38D748" w14:textId="77777777" w:rsidR="002B6418" w:rsidRDefault="002B6418" w:rsidP="002B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D0A9" w14:textId="77777777" w:rsidR="002B6418" w:rsidRDefault="002B6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45A8" w14:textId="77777777" w:rsidR="002B6418" w:rsidRDefault="002B6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B8D18" w14:textId="77777777" w:rsidR="002B6418" w:rsidRDefault="002B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A470" w14:textId="77777777" w:rsidR="002B6418" w:rsidRDefault="002B6418" w:rsidP="002B6418">
      <w:pPr>
        <w:spacing w:after="0" w:line="240" w:lineRule="auto"/>
      </w:pPr>
      <w:r>
        <w:separator/>
      </w:r>
    </w:p>
  </w:footnote>
  <w:footnote w:type="continuationSeparator" w:id="0">
    <w:p w14:paraId="0CF88600" w14:textId="77777777" w:rsidR="002B6418" w:rsidRDefault="002B6418" w:rsidP="002B6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3E16" w14:textId="77777777" w:rsidR="002B6418" w:rsidRDefault="002B6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59814"/>
      <w:docPartObj>
        <w:docPartGallery w:val="Watermarks"/>
        <w:docPartUnique/>
      </w:docPartObj>
    </w:sdtPr>
    <w:sdtEndPr/>
    <w:sdtContent>
      <w:p w14:paraId="1BAE1206" w14:textId="0A21D320" w:rsidR="002B6418" w:rsidRDefault="00071640">
        <w:pPr>
          <w:pStyle w:val="Header"/>
        </w:pPr>
        <w:r>
          <w:rPr>
            <w:noProof/>
          </w:rPr>
          <w:pict w14:anchorId="65F9B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D918" w14:textId="77777777" w:rsidR="002B6418" w:rsidRDefault="002B6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B6B8"/>
    <w:multiLevelType w:val="hybridMultilevel"/>
    <w:tmpl w:val="B1B033BA"/>
    <w:lvl w:ilvl="0" w:tplc="C0C8393E">
      <w:start w:val="1"/>
      <w:numFmt w:val="lowerLetter"/>
      <w:lvlText w:val="(%1)"/>
      <w:lvlJc w:val="left"/>
      <w:pPr>
        <w:ind w:left="720" w:hanging="360"/>
      </w:pPr>
    </w:lvl>
    <w:lvl w:ilvl="1" w:tplc="49B875F2">
      <w:start w:val="1"/>
      <w:numFmt w:val="lowerLetter"/>
      <w:lvlText w:val="%2."/>
      <w:lvlJc w:val="left"/>
      <w:pPr>
        <w:ind w:left="1440" w:hanging="360"/>
      </w:pPr>
    </w:lvl>
    <w:lvl w:ilvl="2" w:tplc="4DB8E11E">
      <w:start w:val="1"/>
      <w:numFmt w:val="lowerRoman"/>
      <w:lvlText w:val="%3."/>
      <w:lvlJc w:val="right"/>
      <w:pPr>
        <w:ind w:left="2160" w:hanging="180"/>
      </w:pPr>
    </w:lvl>
    <w:lvl w:ilvl="3" w:tplc="B70E0A7C">
      <w:start w:val="1"/>
      <w:numFmt w:val="decimal"/>
      <w:lvlText w:val="%4."/>
      <w:lvlJc w:val="left"/>
      <w:pPr>
        <w:ind w:left="2880" w:hanging="360"/>
      </w:pPr>
    </w:lvl>
    <w:lvl w:ilvl="4" w:tplc="7DFA7918">
      <w:start w:val="1"/>
      <w:numFmt w:val="lowerLetter"/>
      <w:lvlText w:val="%5."/>
      <w:lvlJc w:val="left"/>
      <w:pPr>
        <w:ind w:left="3600" w:hanging="360"/>
      </w:pPr>
    </w:lvl>
    <w:lvl w:ilvl="5" w:tplc="20E08CAE">
      <w:start w:val="1"/>
      <w:numFmt w:val="lowerRoman"/>
      <w:lvlText w:val="%6."/>
      <w:lvlJc w:val="right"/>
      <w:pPr>
        <w:ind w:left="4320" w:hanging="180"/>
      </w:pPr>
    </w:lvl>
    <w:lvl w:ilvl="6" w:tplc="64462E68">
      <w:start w:val="1"/>
      <w:numFmt w:val="decimal"/>
      <w:lvlText w:val="%7."/>
      <w:lvlJc w:val="left"/>
      <w:pPr>
        <w:ind w:left="5040" w:hanging="360"/>
      </w:pPr>
    </w:lvl>
    <w:lvl w:ilvl="7" w:tplc="D3BC7A14">
      <w:start w:val="1"/>
      <w:numFmt w:val="lowerLetter"/>
      <w:lvlText w:val="%8."/>
      <w:lvlJc w:val="left"/>
      <w:pPr>
        <w:ind w:left="5760" w:hanging="360"/>
      </w:pPr>
    </w:lvl>
    <w:lvl w:ilvl="8" w:tplc="BD12FB10">
      <w:start w:val="1"/>
      <w:numFmt w:val="lowerRoman"/>
      <w:lvlText w:val="%9."/>
      <w:lvlJc w:val="right"/>
      <w:pPr>
        <w:ind w:left="6480" w:hanging="180"/>
      </w:pPr>
    </w:lvl>
  </w:abstractNum>
  <w:abstractNum w:abstractNumId="1" w15:restartNumberingAfterBreak="0">
    <w:nsid w:val="2B901248"/>
    <w:multiLevelType w:val="hybridMultilevel"/>
    <w:tmpl w:val="8EEC91D8"/>
    <w:lvl w:ilvl="0" w:tplc="A574FB28">
      <w:start w:val="1"/>
      <w:numFmt w:val="lowerLetter"/>
      <w:lvlText w:val="(%1)"/>
      <w:lvlJc w:val="left"/>
      <w:pPr>
        <w:ind w:left="720" w:hanging="360"/>
      </w:pPr>
    </w:lvl>
    <w:lvl w:ilvl="1" w:tplc="F93AECC4">
      <w:start w:val="1"/>
      <w:numFmt w:val="lowerLetter"/>
      <w:lvlText w:val="%2."/>
      <w:lvlJc w:val="left"/>
      <w:pPr>
        <w:ind w:left="1440" w:hanging="360"/>
      </w:pPr>
    </w:lvl>
    <w:lvl w:ilvl="2" w:tplc="C4882F36">
      <w:start w:val="1"/>
      <w:numFmt w:val="lowerRoman"/>
      <w:lvlText w:val="%3."/>
      <w:lvlJc w:val="right"/>
      <w:pPr>
        <w:ind w:left="2160" w:hanging="180"/>
      </w:pPr>
    </w:lvl>
    <w:lvl w:ilvl="3" w:tplc="BA1C697C">
      <w:start w:val="1"/>
      <w:numFmt w:val="decimal"/>
      <w:lvlText w:val="%4."/>
      <w:lvlJc w:val="left"/>
      <w:pPr>
        <w:ind w:left="2880" w:hanging="360"/>
      </w:pPr>
    </w:lvl>
    <w:lvl w:ilvl="4" w:tplc="3504254A">
      <w:start w:val="1"/>
      <w:numFmt w:val="lowerLetter"/>
      <w:lvlText w:val="%5."/>
      <w:lvlJc w:val="left"/>
      <w:pPr>
        <w:ind w:left="3600" w:hanging="360"/>
      </w:pPr>
    </w:lvl>
    <w:lvl w:ilvl="5" w:tplc="00EE1F1C">
      <w:start w:val="1"/>
      <w:numFmt w:val="lowerRoman"/>
      <w:lvlText w:val="%6."/>
      <w:lvlJc w:val="right"/>
      <w:pPr>
        <w:ind w:left="4320" w:hanging="180"/>
      </w:pPr>
    </w:lvl>
    <w:lvl w:ilvl="6" w:tplc="C0840FDE">
      <w:start w:val="1"/>
      <w:numFmt w:val="decimal"/>
      <w:lvlText w:val="%7."/>
      <w:lvlJc w:val="left"/>
      <w:pPr>
        <w:ind w:left="5040" w:hanging="360"/>
      </w:pPr>
    </w:lvl>
    <w:lvl w:ilvl="7" w:tplc="244C0036">
      <w:start w:val="1"/>
      <w:numFmt w:val="lowerLetter"/>
      <w:lvlText w:val="%8."/>
      <w:lvlJc w:val="left"/>
      <w:pPr>
        <w:ind w:left="5760" w:hanging="360"/>
      </w:pPr>
    </w:lvl>
    <w:lvl w:ilvl="8" w:tplc="991AE2E8">
      <w:start w:val="1"/>
      <w:numFmt w:val="lowerRoman"/>
      <w:lvlText w:val="%9."/>
      <w:lvlJc w:val="right"/>
      <w:pPr>
        <w:ind w:left="6480" w:hanging="180"/>
      </w:pPr>
    </w:lvl>
  </w:abstractNum>
  <w:abstractNum w:abstractNumId="2" w15:restartNumberingAfterBreak="0">
    <w:nsid w:val="31202144"/>
    <w:multiLevelType w:val="hybridMultilevel"/>
    <w:tmpl w:val="A1F23CB0"/>
    <w:lvl w:ilvl="0" w:tplc="7898EFC6">
      <w:start w:val="1"/>
      <w:numFmt w:val="lowerLetter"/>
      <w:lvlText w:val="(%1)"/>
      <w:lvlJc w:val="left"/>
      <w:pPr>
        <w:ind w:left="720" w:hanging="360"/>
      </w:pPr>
    </w:lvl>
    <w:lvl w:ilvl="1" w:tplc="3BA2FFFA">
      <w:start w:val="1"/>
      <w:numFmt w:val="lowerLetter"/>
      <w:lvlText w:val="%2."/>
      <w:lvlJc w:val="left"/>
      <w:pPr>
        <w:ind w:left="1440" w:hanging="360"/>
      </w:pPr>
    </w:lvl>
    <w:lvl w:ilvl="2" w:tplc="DEEA6D3C">
      <w:start w:val="1"/>
      <w:numFmt w:val="lowerRoman"/>
      <w:lvlText w:val="%3."/>
      <w:lvlJc w:val="right"/>
      <w:pPr>
        <w:ind w:left="2160" w:hanging="180"/>
      </w:pPr>
    </w:lvl>
    <w:lvl w:ilvl="3" w:tplc="F07C470C">
      <w:start w:val="1"/>
      <w:numFmt w:val="decimal"/>
      <w:lvlText w:val="%4."/>
      <w:lvlJc w:val="left"/>
      <w:pPr>
        <w:ind w:left="2880" w:hanging="360"/>
      </w:pPr>
    </w:lvl>
    <w:lvl w:ilvl="4" w:tplc="19EE19E8">
      <w:start w:val="1"/>
      <w:numFmt w:val="lowerLetter"/>
      <w:lvlText w:val="%5."/>
      <w:lvlJc w:val="left"/>
      <w:pPr>
        <w:ind w:left="3600" w:hanging="360"/>
      </w:pPr>
    </w:lvl>
    <w:lvl w:ilvl="5" w:tplc="22CC6CB0">
      <w:start w:val="1"/>
      <w:numFmt w:val="lowerRoman"/>
      <w:lvlText w:val="%6."/>
      <w:lvlJc w:val="right"/>
      <w:pPr>
        <w:ind w:left="4320" w:hanging="180"/>
      </w:pPr>
    </w:lvl>
    <w:lvl w:ilvl="6" w:tplc="259656EA">
      <w:start w:val="1"/>
      <w:numFmt w:val="decimal"/>
      <w:lvlText w:val="%7."/>
      <w:lvlJc w:val="left"/>
      <w:pPr>
        <w:ind w:left="5040" w:hanging="360"/>
      </w:pPr>
    </w:lvl>
    <w:lvl w:ilvl="7" w:tplc="B4A0F42E">
      <w:start w:val="1"/>
      <w:numFmt w:val="lowerLetter"/>
      <w:lvlText w:val="%8."/>
      <w:lvlJc w:val="left"/>
      <w:pPr>
        <w:ind w:left="5760" w:hanging="360"/>
      </w:pPr>
    </w:lvl>
    <w:lvl w:ilvl="8" w:tplc="414A0700">
      <w:start w:val="1"/>
      <w:numFmt w:val="lowerRoman"/>
      <w:lvlText w:val="%9."/>
      <w:lvlJc w:val="right"/>
      <w:pPr>
        <w:ind w:left="6480" w:hanging="180"/>
      </w:pPr>
    </w:lvl>
  </w:abstractNum>
  <w:abstractNum w:abstractNumId="3" w15:restartNumberingAfterBreak="0">
    <w:nsid w:val="494112DE"/>
    <w:multiLevelType w:val="hybridMultilevel"/>
    <w:tmpl w:val="0308C99C"/>
    <w:lvl w:ilvl="0" w:tplc="1AA69E06">
      <w:start w:val="1"/>
      <w:numFmt w:val="lowerLetter"/>
      <w:lvlText w:val="(%1)"/>
      <w:lvlJc w:val="left"/>
      <w:pPr>
        <w:ind w:left="1710" w:hanging="360"/>
      </w:pPr>
      <w:rPr>
        <w:rFonts w:hint="default"/>
        <w:u w:val="singl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535D27BC"/>
    <w:multiLevelType w:val="hybridMultilevel"/>
    <w:tmpl w:val="3A808DEE"/>
    <w:lvl w:ilvl="0" w:tplc="7C4624D0">
      <w:start w:val="1"/>
      <w:numFmt w:val="decimal"/>
      <w:lvlText w:val="%1."/>
      <w:lvlJc w:val="left"/>
      <w:pPr>
        <w:ind w:left="720" w:hanging="360"/>
      </w:pPr>
    </w:lvl>
    <w:lvl w:ilvl="1" w:tplc="AFDC0DC6">
      <w:start w:val="1"/>
      <w:numFmt w:val="lowerLetter"/>
      <w:lvlText w:val="%2."/>
      <w:lvlJc w:val="left"/>
      <w:pPr>
        <w:ind w:left="1440" w:hanging="360"/>
      </w:pPr>
    </w:lvl>
    <w:lvl w:ilvl="2" w:tplc="A090621E">
      <w:start w:val="1"/>
      <w:numFmt w:val="decimal"/>
      <w:lvlText w:val="%3."/>
      <w:lvlJc w:val="left"/>
      <w:pPr>
        <w:ind w:left="2160" w:hanging="180"/>
      </w:pPr>
    </w:lvl>
    <w:lvl w:ilvl="3" w:tplc="8BA2260A">
      <w:start w:val="1"/>
      <w:numFmt w:val="decimal"/>
      <w:lvlText w:val="%4."/>
      <w:lvlJc w:val="left"/>
      <w:pPr>
        <w:ind w:left="2880" w:hanging="360"/>
      </w:pPr>
    </w:lvl>
    <w:lvl w:ilvl="4" w:tplc="C4487EFA">
      <w:start w:val="1"/>
      <w:numFmt w:val="lowerLetter"/>
      <w:lvlText w:val="%5."/>
      <w:lvlJc w:val="left"/>
      <w:pPr>
        <w:ind w:left="3600" w:hanging="360"/>
      </w:pPr>
    </w:lvl>
    <w:lvl w:ilvl="5" w:tplc="C9E29E7C">
      <w:start w:val="1"/>
      <w:numFmt w:val="lowerRoman"/>
      <w:lvlText w:val="%6."/>
      <w:lvlJc w:val="right"/>
      <w:pPr>
        <w:ind w:left="4320" w:hanging="180"/>
      </w:pPr>
    </w:lvl>
    <w:lvl w:ilvl="6" w:tplc="65C008DE">
      <w:start w:val="1"/>
      <w:numFmt w:val="decimal"/>
      <w:lvlText w:val="%7."/>
      <w:lvlJc w:val="left"/>
      <w:pPr>
        <w:ind w:left="5040" w:hanging="360"/>
      </w:pPr>
    </w:lvl>
    <w:lvl w:ilvl="7" w:tplc="791A7720">
      <w:start w:val="1"/>
      <w:numFmt w:val="lowerLetter"/>
      <w:lvlText w:val="%8."/>
      <w:lvlJc w:val="left"/>
      <w:pPr>
        <w:ind w:left="5760" w:hanging="360"/>
      </w:pPr>
    </w:lvl>
    <w:lvl w:ilvl="8" w:tplc="7E863C10">
      <w:start w:val="1"/>
      <w:numFmt w:val="lowerRoman"/>
      <w:lvlText w:val="%9."/>
      <w:lvlJc w:val="right"/>
      <w:pPr>
        <w:ind w:left="6480" w:hanging="180"/>
      </w:pPr>
    </w:lvl>
  </w:abstractNum>
  <w:abstractNum w:abstractNumId="5" w15:restartNumberingAfterBreak="0">
    <w:nsid w:val="62152CC2"/>
    <w:multiLevelType w:val="hybridMultilevel"/>
    <w:tmpl w:val="8910B6F0"/>
    <w:lvl w:ilvl="0" w:tplc="B4C453E0">
      <w:start w:val="1"/>
      <w:numFmt w:val="lowerLetter"/>
      <w:lvlText w:val="(%1)"/>
      <w:lvlJc w:val="left"/>
      <w:pPr>
        <w:ind w:left="720" w:hanging="360"/>
      </w:pPr>
    </w:lvl>
    <w:lvl w:ilvl="1" w:tplc="347C0B26">
      <w:start w:val="1"/>
      <w:numFmt w:val="lowerLetter"/>
      <w:lvlText w:val="%2."/>
      <w:lvlJc w:val="left"/>
      <w:pPr>
        <w:ind w:left="1440" w:hanging="360"/>
      </w:pPr>
    </w:lvl>
    <w:lvl w:ilvl="2" w:tplc="18B65E26">
      <w:start w:val="1"/>
      <w:numFmt w:val="lowerRoman"/>
      <w:lvlText w:val="%3."/>
      <w:lvlJc w:val="right"/>
      <w:pPr>
        <w:ind w:left="2160" w:hanging="180"/>
      </w:pPr>
    </w:lvl>
    <w:lvl w:ilvl="3" w:tplc="56BE217C">
      <w:start w:val="1"/>
      <w:numFmt w:val="decimal"/>
      <w:lvlText w:val="%4."/>
      <w:lvlJc w:val="left"/>
      <w:pPr>
        <w:ind w:left="2880" w:hanging="360"/>
      </w:pPr>
    </w:lvl>
    <w:lvl w:ilvl="4" w:tplc="D9D68D8E">
      <w:start w:val="1"/>
      <w:numFmt w:val="lowerLetter"/>
      <w:lvlText w:val="%5."/>
      <w:lvlJc w:val="left"/>
      <w:pPr>
        <w:ind w:left="3600" w:hanging="360"/>
      </w:pPr>
    </w:lvl>
    <w:lvl w:ilvl="5" w:tplc="23EC8BCA">
      <w:start w:val="1"/>
      <w:numFmt w:val="lowerRoman"/>
      <w:lvlText w:val="%6."/>
      <w:lvlJc w:val="right"/>
      <w:pPr>
        <w:ind w:left="4320" w:hanging="180"/>
      </w:pPr>
    </w:lvl>
    <w:lvl w:ilvl="6" w:tplc="36B88A10">
      <w:start w:val="1"/>
      <w:numFmt w:val="decimal"/>
      <w:lvlText w:val="%7."/>
      <w:lvlJc w:val="left"/>
      <w:pPr>
        <w:ind w:left="5040" w:hanging="360"/>
      </w:pPr>
    </w:lvl>
    <w:lvl w:ilvl="7" w:tplc="EFB203F0">
      <w:start w:val="1"/>
      <w:numFmt w:val="lowerLetter"/>
      <w:lvlText w:val="%8."/>
      <w:lvlJc w:val="left"/>
      <w:pPr>
        <w:ind w:left="5760" w:hanging="360"/>
      </w:pPr>
    </w:lvl>
    <w:lvl w:ilvl="8" w:tplc="82985FCE">
      <w:start w:val="1"/>
      <w:numFmt w:val="lowerRoman"/>
      <w:lvlText w:val="%9."/>
      <w:lvlJc w:val="right"/>
      <w:pPr>
        <w:ind w:left="6480" w:hanging="180"/>
      </w:pPr>
    </w:lvl>
  </w:abstractNum>
  <w:abstractNum w:abstractNumId="6" w15:restartNumberingAfterBreak="0">
    <w:nsid w:val="7693E443"/>
    <w:multiLevelType w:val="hybridMultilevel"/>
    <w:tmpl w:val="CC22E6EA"/>
    <w:lvl w:ilvl="0" w:tplc="2F9E2FB0">
      <w:start w:val="1"/>
      <w:numFmt w:val="lowerLetter"/>
      <w:lvlText w:val="(%1)"/>
      <w:lvlJc w:val="left"/>
      <w:pPr>
        <w:ind w:left="720" w:hanging="360"/>
      </w:pPr>
    </w:lvl>
    <w:lvl w:ilvl="1" w:tplc="BFC2108A">
      <w:start w:val="1"/>
      <w:numFmt w:val="lowerLetter"/>
      <w:lvlText w:val="%2."/>
      <w:lvlJc w:val="left"/>
      <w:pPr>
        <w:ind w:left="1440" w:hanging="360"/>
      </w:pPr>
    </w:lvl>
    <w:lvl w:ilvl="2" w:tplc="C91E21FE">
      <w:start w:val="1"/>
      <w:numFmt w:val="lowerRoman"/>
      <w:lvlText w:val="%3."/>
      <w:lvlJc w:val="right"/>
      <w:pPr>
        <w:ind w:left="2160" w:hanging="180"/>
      </w:pPr>
    </w:lvl>
    <w:lvl w:ilvl="3" w:tplc="6E9006D0">
      <w:start w:val="1"/>
      <w:numFmt w:val="decimal"/>
      <w:lvlText w:val="%4."/>
      <w:lvlJc w:val="left"/>
      <w:pPr>
        <w:ind w:left="2880" w:hanging="360"/>
      </w:pPr>
    </w:lvl>
    <w:lvl w:ilvl="4" w:tplc="AAACFCD4">
      <w:start w:val="1"/>
      <w:numFmt w:val="lowerLetter"/>
      <w:lvlText w:val="%5."/>
      <w:lvlJc w:val="left"/>
      <w:pPr>
        <w:ind w:left="3600" w:hanging="360"/>
      </w:pPr>
    </w:lvl>
    <w:lvl w:ilvl="5" w:tplc="12E09B72">
      <w:start w:val="1"/>
      <w:numFmt w:val="lowerRoman"/>
      <w:lvlText w:val="%6."/>
      <w:lvlJc w:val="right"/>
      <w:pPr>
        <w:ind w:left="4320" w:hanging="180"/>
      </w:pPr>
    </w:lvl>
    <w:lvl w:ilvl="6" w:tplc="D39A6C2C">
      <w:start w:val="1"/>
      <w:numFmt w:val="decimal"/>
      <w:lvlText w:val="%7."/>
      <w:lvlJc w:val="left"/>
      <w:pPr>
        <w:ind w:left="5040" w:hanging="360"/>
      </w:pPr>
    </w:lvl>
    <w:lvl w:ilvl="7" w:tplc="39ACE016">
      <w:start w:val="1"/>
      <w:numFmt w:val="lowerLetter"/>
      <w:lvlText w:val="%8."/>
      <w:lvlJc w:val="left"/>
      <w:pPr>
        <w:ind w:left="5760" w:hanging="360"/>
      </w:pPr>
    </w:lvl>
    <w:lvl w:ilvl="8" w:tplc="27787D88">
      <w:start w:val="1"/>
      <w:numFmt w:val="lowerRoman"/>
      <w:lvlText w:val="%9."/>
      <w:lvlJc w:val="right"/>
      <w:pPr>
        <w:ind w:left="6480" w:hanging="180"/>
      </w:pPr>
    </w:lvl>
  </w:abstractNum>
  <w:num w:numId="1" w16cid:durableId="529299145">
    <w:abstractNumId w:val="0"/>
  </w:num>
  <w:num w:numId="2" w16cid:durableId="310328940">
    <w:abstractNumId w:val="1"/>
  </w:num>
  <w:num w:numId="3" w16cid:durableId="640959713">
    <w:abstractNumId w:val="6"/>
  </w:num>
  <w:num w:numId="4" w16cid:durableId="1147436502">
    <w:abstractNumId w:val="2"/>
  </w:num>
  <w:num w:numId="5" w16cid:durableId="741173326">
    <w:abstractNumId w:val="5"/>
  </w:num>
  <w:num w:numId="6" w16cid:durableId="1653097234">
    <w:abstractNumId w:val="4"/>
  </w:num>
  <w:num w:numId="7" w16cid:durableId="124152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DF"/>
    <w:rsid w:val="0000321D"/>
    <w:rsid w:val="00071640"/>
    <w:rsid w:val="000750DF"/>
    <w:rsid w:val="00086011"/>
    <w:rsid w:val="000933F8"/>
    <w:rsid w:val="001438FC"/>
    <w:rsid w:val="00146826"/>
    <w:rsid w:val="00155B35"/>
    <w:rsid w:val="0015775B"/>
    <w:rsid w:val="00164F3D"/>
    <w:rsid w:val="0019205B"/>
    <w:rsid w:val="001F39E1"/>
    <w:rsid w:val="00211B2E"/>
    <w:rsid w:val="00243D6A"/>
    <w:rsid w:val="00264CB9"/>
    <w:rsid w:val="00270DDF"/>
    <w:rsid w:val="002B6418"/>
    <w:rsid w:val="002F4E0F"/>
    <w:rsid w:val="00371D08"/>
    <w:rsid w:val="0039328B"/>
    <w:rsid w:val="003A1024"/>
    <w:rsid w:val="003F3D39"/>
    <w:rsid w:val="00426F50"/>
    <w:rsid w:val="00431036"/>
    <w:rsid w:val="00463FDC"/>
    <w:rsid w:val="00464405"/>
    <w:rsid w:val="0048658C"/>
    <w:rsid w:val="004A7D87"/>
    <w:rsid w:val="004C4621"/>
    <w:rsid w:val="004D44C1"/>
    <w:rsid w:val="00582BE8"/>
    <w:rsid w:val="005F297A"/>
    <w:rsid w:val="00615424"/>
    <w:rsid w:val="006520BD"/>
    <w:rsid w:val="006A074E"/>
    <w:rsid w:val="00721328"/>
    <w:rsid w:val="00757E05"/>
    <w:rsid w:val="007863C3"/>
    <w:rsid w:val="007B5543"/>
    <w:rsid w:val="00840F9F"/>
    <w:rsid w:val="008A1059"/>
    <w:rsid w:val="008D5EA4"/>
    <w:rsid w:val="00A90667"/>
    <w:rsid w:val="00A9292A"/>
    <w:rsid w:val="00AC6511"/>
    <w:rsid w:val="00AE0307"/>
    <w:rsid w:val="00B937FC"/>
    <w:rsid w:val="00BE1898"/>
    <w:rsid w:val="00BF1E82"/>
    <w:rsid w:val="00C403B1"/>
    <w:rsid w:val="00C57BE7"/>
    <w:rsid w:val="00CE0C74"/>
    <w:rsid w:val="00D06D12"/>
    <w:rsid w:val="00DE0B9D"/>
    <w:rsid w:val="00E36337"/>
    <w:rsid w:val="00E8664A"/>
    <w:rsid w:val="00F122B4"/>
    <w:rsid w:val="00F15C6F"/>
    <w:rsid w:val="00F57CB4"/>
    <w:rsid w:val="00F941CC"/>
    <w:rsid w:val="00F94F1B"/>
    <w:rsid w:val="00FE2BA3"/>
    <w:rsid w:val="01AC5A0A"/>
    <w:rsid w:val="023697BB"/>
    <w:rsid w:val="0291D57F"/>
    <w:rsid w:val="03B5743F"/>
    <w:rsid w:val="03F97FCE"/>
    <w:rsid w:val="041E4BC6"/>
    <w:rsid w:val="04505146"/>
    <w:rsid w:val="04C2AA5E"/>
    <w:rsid w:val="0558AADC"/>
    <w:rsid w:val="055C293D"/>
    <w:rsid w:val="05A1D69A"/>
    <w:rsid w:val="05C62B23"/>
    <w:rsid w:val="06978AE1"/>
    <w:rsid w:val="06C350A4"/>
    <w:rsid w:val="070275D6"/>
    <w:rsid w:val="074976DF"/>
    <w:rsid w:val="082CC93D"/>
    <w:rsid w:val="08A4FCC1"/>
    <w:rsid w:val="08AA4614"/>
    <w:rsid w:val="0912C92B"/>
    <w:rsid w:val="0962EF30"/>
    <w:rsid w:val="09A0DEBD"/>
    <w:rsid w:val="0A1C953B"/>
    <w:rsid w:val="0B4324EF"/>
    <w:rsid w:val="0B4C043F"/>
    <w:rsid w:val="0B706148"/>
    <w:rsid w:val="0BD4C392"/>
    <w:rsid w:val="0CCBC405"/>
    <w:rsid w:val="0DD4EB1D"/>
    <w:rsid w:val="0ECBF9B3"/>
    <w:rsid w:val="0ED4BE0A"/>
    <w:rsid w:val="10458D28"/>
    <w:rsid w:val="1048BCB1"/>
    <w:rsid w:val="1086C6E0"/>
    <w:rsid w:val="116040F2"/>
    <w:rsid w:val="11EBA963"/>
    <w:rsid w:val="120F0CE8"/>
    <w:rsid w:val="1460E56A"/>
    <w:rsid w:val="14D8CE28"/>
    <w:rsid w:val="14E0BBAE"/>
    <w:rsid w:val="159A8561"/>
    <w:rsid w:val="15C1E55A"/>
    <w:rsid w:val="1648A722"/>
    <w:rsid w:val="16AF5315"/>
    <w:rsid w:val="16D27EE5"/>
    <w:rsid w:val="16E52645"/>
    <w:rsid w:val="17746F66"/>
    <w:rsid w:val="1814A197"/>
    <w:rsid w:val="19D7D33C"/>
    <w:rsid w:val="1A87CE30"/>
    <w:rsid w:val="1AE3E037"/>
    <w:rsid w:val="1BB99357"/>
    <w:rsid w:val="1BC96052"/>
    <w:rsid w:val="1BD1CAB9"/>
    <w:rsid w:val="1C4EC84B"/>
    <w:rsid w:val="1CD01580"/>
    <w:rsid w:val="1CE4D00D"/>
    <w:rsid w:val="1CEEFEFD"/>
    <w:rsid w:val="1DD3EE4D"/>
    <w:rsid w:val="1DD7A300"/>
    <w:rsid w:val="1DDCCDFF"/>
    <w:rsid w:val="1DDE32B0"/>
    <w:rsid w:val="1E643F3D"/>
    <w:rsid w:val="1E6E7597"/>
    <w:rsid w:val="215536D0"/>
    <w:rsid w:val="232F6127"/>
    <w:rsid w:val="23308C74"/>
    <w:rsid w:val="234AEB2F"/>
    <w:rsid w:val="23CD9920"/>
    <w:rsid w:val="2518C846"/>
    <w:rsid w:val="253EBF31"/>
    <w:rsid w:val="2597CF6E"/>
    <w:rsid w:val="25A43D9C"/>
    <w:rsid w:val="25FF8645"/>
    <w:rsid w:val="265A3989"/>
    <w:rsid w:val="26AE3C09"/>
    <w:rsid w:val="26DA8F92"/>
    <w:rsid w:val="271C6AE6"/>
    <w:rsid w:val="275EDA55"/>
    <w:rsid w:val="277F7546"/>
    <w:rsid w:val="285DB039"/>
    <w:rsid w:val="28AB585B"/>
    <w:rsid w:val="2A540BA8"/>
    <w:rsid w:val="2A694134"/>
    <w:rsid w:val="2A6B23F3"/>
    <w:rsid w:val="2A9CFDAB"/>
    <w:rsid w:val="2B4822EA"/>
    <w:rsid w:val="2B6620FC"/>
    <w:rsid w:val="2C52E669"/>
    <w:rsid w:val="2D511DEB"/>
    <w:rsid w:val="2D78DCD4"/>
    <w:rsid w:val="2D7EC97E"/>
    <w:rsid w:val="2D9AFB37"/>
    <w:rsid w:val="2DF84882"/>
    <w:rsid w:val="2E452629"/>
    <w:rsid w:val="2E58BD8B"/>
    <w:rsid w:val="2EF6C208"/>
    <w:rsid w:val="2F40C0EA"/>
    <w:rsid w:val="2F9FB121"/>
    <w:rsid w:val="2FA2BAD4"/>
    <w:rsid w:val="305A1123"/>
    <w:rsid w:val="309CC7D2"/>
    <w:rsid w:val="31AD2729"/>
    <w:rsid w:val="32873ED3"/>
    <w:rsid w:val="32A5B5BF"/>
    <w:rsid w:val="32D07C53"/>
    <w:rsid w:val="3310510E"/>
    <w:rsid w:val="34E01058"/>
    <w:rsid w:val="351F6ED6"/>
    <w:rsid w:val="367BE0B9"/>
    <w:rsid w:val="3699834C"/>
    <w:rsid w:val="37951F35"/>
    <w:rsid w:val="3A2E196D"/>
    <w:rsid w:val="3AC14DDA"/>
    <w:rsid w:val="3BE48E92"/>
    <w:rsid w:val="3C051736"/>
    <w:rsid w:val="3C54E71E"/>
    <w:rsid w:val="3C9889DD"/>
    <w:rsid w:val="3CC965F9"/>
    <w:rsid w:val="3D778377"/>
    <w:rsid w:val="3DA0E797"/>
    <w:rsid w:val="3EC97275"/>
    <w:rsid w:val="3ED461A1"/>
    <w:rsid w:val="3EDF752A"/>
    <w:rsid w:val="3F6E86C5"/>
    <w:rsid w:val="40C438B9"/>
    <w:rsid w:val="412D5A5E"/>
    <w:rsid w:val="41629A38"/>
    <w:rsid w:val="417C1A24"/>
    <w:rsid w:val="419E3D2E"/>
    <w:rsid w:val="424B24F6"/>
    <w:rsid w:val="4309FC61"/>
    <w:rsid w:val="4342F901"/>
    <w:rsid w:val="43DA6310"/>
    <w:rsid w:val="43EA0883"/>
    <w:rsid w:val="4448C8E4"/>
    <w:rsid w:val="44DEC962"/>
    <w:rsid w:val="45C161CB"/>
    <w:rsid w:val="45E49945"/>
    <w:rsid w:val="46BD6E12"/>
    <w:rsid w:val="46D09E85"/>
    <w:rsid w:val="474A30ED"/>
    <w:rsid w:val="47CAE5A3"/>
    <w:rsid w:val="47E0A7E2"/>
    <w:rsid w:val="480A24B3"/>
    <w:rsid w:val="492197D7"/>
    <w:rsid w:val="49499703"/>
    <w:rsid w:val="494E4E76"/>
    <w:rsid w:val="49526C80"/>
    <w:rsid w:val="498736DE"/>
    <w:rsid w:val="49A5F514"/>
    <w:rsid w:val="4A471949"/>
    <w:rsid w:val="4A4D5BB5"/>
    <w:rsid w:val="4A997CBA"/>
    <w:rsid w:val="4AD4BABD"/>
    <w:rsid w:val="4B04E419"/>
    <w:rsid w:val="4B18B15A"/>
    <w:rsid w:val="4B8E3829"/>
    <w:rsid w:val="4BEFCC55"/>
    <w:rsid w:val="4CB5A46D"/>
    <w:rsid w:val="4CE21EC5"/>
    <w:rsid w:val="4D500274"/>
    <w:rsid w:val="4DF508FA"/>
    <w:rsid w:val="4E8D992E"/>
    <w:rsid w:val="4EAB2DA7"/>
    <w:rsid w:val="4FB70F7C"/>
    <w:rsid w:val="50A83FA0"/>
    <w:rsid w:val="50D7D8BC"/>
    <w:rsid w:val="5113815F"/>
    <w:rsid w:val="512F3972"/>
    <w:rsid w:val="514A5539"/>
    <w:rsid w:val="52391115"/>
    <w:rsid w:val="52AF51C0"/>
    <w:rsid w:val="53E020BE"/>
    <w:rsid w:val="545EFC92"/>
    <w:rsid w:val="54611E46"/>
    <w:rsid w:val="5465C4CB"/>
    <w:rsid w:val="54875971"/>
    <w:rsid w:val="54963D2D"/>
    <w:rsid w:val="5557DAA0"/>
    <w:rsid w:val="55E51563"/>
    <w:rsid w:val="56D324C6"/>
    <w:rsid w:val="572BF0D5"/>
    <w:rsid w:val="59072884"/>
    <w:rsid w:val="596231B7"/>
    <w:rsid w:val="59BF6F9A"/>
    <w:rsid w:val="5A1B3804"/>
    <w:rsid w:val="5A2620C4"/>
    <w:rsid w:val="5A845392"/>
    <w:rsid w:val="5BA03E11"/>
    <w:rsid w:val="5D0848C1"/>
    <w:rsid w:val="5D1F4A3D"/>
    <w:rsid w:val="5D6FD061"/>
    <w:rsid w:val="5D8D5690"/>
    <w:rsid w:val="5EDC8330"/>
    <w:rsid w:val="5F0A57C2"/>
    <w:rsid w:val="5F6A19A3"/>
    <w:rsid w:val="5F9DA847"/>
    <w:rsid w:val="5FA461CB"/>
    <w:rsid w:val="5FD520CC"/>
    <w:rsid w:val="60BC2D31"/>
    <w:rsid w:val="6206BCF0"/>
    <w:rsid w:val="62657C23"/>
    <w:rsid w:val="632942D7"/>
    <w:rsid w:val="633DCE95"/>
    <w:rsid w:val="63551A4C"/>
    <w:rsid w:val="64F0EAAD"/>
    <w:rsid w:val="656AE72E"/>
    <w:rsid w:val="6591402E"/>
    <w:rsid w:val="66446250"/>
    <w:rsid w:val="668C9C62"/>
    <w:rsid w:val="66D181F4"/>
    <w:rsid w:val="673CB602"/>
    <w:rsid w:val="674E7B01"/>
    <w:rsid w:val="6871A424"/>
    <w:rsid w:val="68AC10A1"/>
    <w:rsid w:val="6962DAB5"/>
    <w:rsid w:val="69AB3373"/>
    <w:rsid w:val="6A080731"/>
    <w:rsid w:val="6A0D7485"/>
    <w:rsid w:val="6B01BC5C"/>
    <w:rsid w:val="6C6DF81E"/>
    <w:rsid w:val="6D62AA79"/>
    <w:rsid w:val="6E2F7CB8"/>
    <w:rsid w:val="706634B8"/>
    <w:rsid w:val="707E9328"/>
    <w:rsid w:val="71AC89A0"/>
    <w:rsid w:val="72931F7A"/>
    <w:rsid w:val="73B633EA"/>
    <w:rsid w:val="74C4B2D1"/>
    <w:rsid w:val="756DBC5E"/>
    <w:rsid w:val="75EA947F"/>
    <w:rsid w:val="763A5FF1"/>
    <w:rsid w:val="76AFB135"/>
    <w:rsid w:val="781DCEEF"/>
    <w:rsid w:val="785394FA"/>
    <w:rsid w:val="7973846D"/>
    <w:rsid w:val="7ACAE88E"/>
    <w:rsid w:val="7B55B08A"/>
    <w:rsid w:val="7B5E568E"/>
    <w:rsid w:val="7B67282B"/>
    <w:rsid w:val="7BD83B15"/>
    <w:rsid w:val="7CBD069E"/>
    <w:rsid w:val="7E028950"/>
    <w:rsid w:val="7ECA2C8C"/>
    <w:rsid w:val="7F579D55"/>
    <w:rsid w:val="7F5D91A2"/>
    <w:rsid w:val="7FAB8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E0911"/>
  <w15:docId w15:val="{EFED20B2-F74C-4896-B8A2-B07BF3A1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DF"/>
    <w:rPr>
      <w:rFonts w:eastAsiaTheme="majorEastAsia" w:cstheme="majorBidi"/>
      <w:color w:val="272727" w:themeColor="text1" w:themeTint="D8"/>
    </w:rPr>
  </w:style>
  <w:style w:type="paragraph" w:styleId="Title">
    <w:name w:val="Title"/>
    <w:basedOn w:val="Normal"/>
    <w:next w:val="Normal"/>
    <w:link w:val="TitleChar"/>
    <w:uiPriority w:val="10"/>
    <w:qFormat/>
    <w:rsid w:val="00075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DF"/>
    <w:pPr>
      <w:spacing w:before="160"/>
      <w:jc w:val="center"/>
    </w:pPr>
    <w:rPr>
      <w:i/>
      <w:iCs/>
      <w:color w:val="404040" w:themeColor="text1" w:themeTint="BF"/>
    </w:rPr>
  </w:style>
  <w:style w:type="character" w:customStyle="1" w:styleId="QuoteChar">
    <w:name w:val="Quote Char"/>
    <w:basedOn w:val="DefaultParagraphFont"/>
    <w:link w:val="Quote"/>
    <w:uiPriority w:val="29"/>
    <w:rsid w:val="000750DF"/>
    <w:rPr>
      <w:i/>
      <w:iCs/>
      <w:color w:val="404040" w:themeColor="text1" w:themeTint="BF"/>
    </w:rPr>
  </w:style>
  <w:style w:type="paragraph" w:styleId="ListParagraph">
    <w:name w:val="List Paragraph"/>
    <w:basedOn w:val="Normal"/>
    <w:uiPriority w:val="34"/>
    <w:qFormat/>
    <w:rsid w:val="000750DF"/>
    <w:pPr>
      <w:ind w:left="720"/>
      <w:contextualSpacing/>
    </w:pPr>
  </w:style>
  <w:style w:type="character" w:styleId="IntenseEmphasis">
    <w:name w:val="Intense Emphasis"/>
    <w:basedOn w:val="DefaultParagraphFont"/>
    <w:uiPriority w:val="21"/>
    <w:qFormat/>
    <w:rsid w:val="000750DF"/>
    <w:rPr>
      <w:i/>
      <w:iCs/>
      <w:color w:val="0F4761" w:themeColor="accent1" w:themeShade="BF"/>
    </w:rPr>
  </w:style>
  <w:style w:type="paragraph" w:styleId="IntenseQuote">
    <w:name w:val="Intense Quote"/>
    <w:basedOn w:val="Normal"/>
    <w:next w:val="Normal"/>
    <w:link w:val="IntenseQuoteChar"/>
    <w:uiPriority w:val="30"/>
    <w:qFormat/>
    <w:rsid w:val="00075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0DF"/>
    <w:rPr>
      <w:i/>
      <w:iCs/>
      <w:color w:val="0F4761" w:themeColor="accent1" w:themeShade="BF"/>
    </w:rPr>
  </w:style>
  <w:style w:type="character" w:styleId="IntenseReference">
    <w:name w:val="Intense Reference"/>
    <w:basedOn w:val="DefaultParagraphFont"/>
    <w:uiPriority w:val="32"/>
    <w:qFormat/>
    <w:rsid w:val="000750DF"/>
    <w:rPr>
      <w:b/>
      <w:bCs/>
      <w:smallCaps/>
      <w:color w:val="0F4761" w:themeColor="accent1" w:themeShade="BF"/>
      <w:spacing w:val="5"/>
    </w:rPr>
  </w:style>
  <w:style w:type="character" w:styleId="LineNumber">
    <w:name w:val="line number"/>
    <w:basedOn w:val="DefaultParagraphFont"/>
    <w:uiPriority w:val="99"/>
    <w:semiHidden/>
    <w:unhideWhenUsed/>
    <w:rsid w:val="000750DF"/>
  </w:style>
  <w:style w:type="character" w:styleId="CommentReference">
    <w:name w:val="annotation reference"/>
    <w:basedOn w:val="DefaultParagraphFont"/>
    <w:uiPriority w:val="99"/>
    <w:semiHidden/>
    <w:unhideWhenUsed/>
    <w:rsid w:val="005F297A"/>
    <w:rPr>
      <w:sz w:val="16"/>
      <w:szCs w:val="16"/>
    </w:rPr>
  </w:style>
  <w:style w:type="paragraph" w:styleId="CommentText">
    <w:name w:val="annotation text"/>
    <w:basedOn w:val="Normal"/>
    <w:link w:val="CommentTextChar"/>
    <w:uiPriority w:val="99"/>
    <w:unhideWhenUsed/>
    <w:rsid w:val="005F297A"/>
    <w:pPr>
      <w:spacing w:line="240" w:lineRule="auto"/>
    </w:pPr>
    <w:rPr>
      <w:sz w:val="20"/>
      <w:szCs w:val="20"/>
    </w:rPr>
  </w:style>
  <w:style w:type="character" w:customStyle="1" w:styleId="CommentTextChar">
    <w:name w:val="Comment Text Char"/>
    <w:basedOn w:val="DefaultParagraphFont"/>
    <w:link w:val="CommentText"/>
    <w:uiPriority w:val="99"/>
    <w:rsid w:val="005F297A"/>
    <w:rPr>
      <w:sz w:val="20"/>
      <w:szCs w:val="20"/>
    </w:rPr>
  </w:style>
  <w:style w:type="paragraph" w:styleId="CommentSubject">
    <w:name w:val="annotation subject"/>
    <w:basedOn w:val="CommentText"/>
    <w:next w:val="CommentText"/>
    <w:link w:val="CommentSubjectChar"/>
    <w:uiPriority w:val="99"/>
    <w:semiHidden/>
    <w:unhideWhenUsed/>
    <w:rsid w:val="005F297A"/>
    <w:rPr>
      <w:b/>
      <w:bCs/>
    </w:rPr>
  </w:style>
  <w:style w:type="character" w:customStyle="1" w:styleId="CommentSubjectChar">
    <w:name w:val="Comment Subject Char"/>
    <w:basedOn w:val="CommentTextChar"/>
    <w:link w:val="CommentSubject"/>
    <w:uiPriority w:val="99"/>
    <w:semiHidden/>
    <w:rsid w:val="005F297A"/>
    <w:rPr>
      <w:b/>
      <w:bCs/>
      <w:sz w:val="20"/>
      <w:szCs w:val="20"/>
    </w:rPr>
  </w:style>
  <w:style w:type="paragraph" w:styleId="Header">
    <w:name w:val="header"/>
    <w:basedOn w:val="Normal"/>
    <w:link w:val="HeaderChar"/>
    <w:uiPriority w:val="99"/>
    <w:unhideWhenUsed/>
    <w:rsid w:val="002B6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18"/>
  </w:style>
  <w:style w:type="paragraph" w:styleId="Footer">
    <w:name w:val="footer"/>
    <w:basedOn w:val="Normal"/>
    <w:link w:val="FooterChar"/>
    <w:uiPriority w:val="99"/>
    <w:unhideWhenUsed/>
    <w:rsid w:val="002B6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Future Land Use Element Amendment</vt:lpstr>
    </vt:vector>
  </TitlesOfParts>
  <Company>County of Volusia</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Land Use Element Amendment - Environmental Management - Growth &amp; Resource Management - Volusia County, Florida</dc:title>
  <dc:subject/>
  <dc:creator>Samantha West</dc:creator>
  <cp:keywords/>
  <dc:description/>
  <cp:lastModifiedBy>Samantha West</cp:lastModifiedBy>
  <cp:revision>4</cp:revision>
  <dcterms:created xsi:type="dcterms:W3CDTF">2024-08-07T17:05:00Z</dcterms:created>
  <dcterms:modified xsi:type="dcterms:W3CDTF">2024-09-17T15:48:00Z</dcterms:modified>
</cp:coreProperties>
</file>